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2"/>
          <w:szCs w:val="32"/>
        </w:rPr>
        <w:t xml:space="preserve">Protocolo de adjudicación de relevancia</w:t>
      </w:r>
    </w:p>
    <w:p>
      <w:pPr>
        <w:spacing w:after="40"/>
      </w:pPr>
      <w:r>
        <w:rPr>
          <w:rFonts w:ascii="Arial" w:cs="Arial" w:eastAsia="Arial" w:hAnsi="Arial"/>
          <w:color w:val="1F3864"/>
          <w:sz w:val="23"/>
          <w:szCs w:val="23"/>
        </w:rPr>
        <w:t xml:space="preserve">Emparejamiento médico–abogado · Proyecto Sinapsistencia v2</w:t>
      </w:r>
    </w:p>
    <w:p>
      <w:pPr>
        <w:pBdr>
          <w:bottom w:val="single" w:color="1F3864" w:sz="8" w:space="6"/>
        </w:pBdr>
        <w:spacing w:after="240"/>
      </w:pPr>
      <w:r>
        <w:rPr>
          <w:rFonts w:ascii="Arial" w:cs="Arial" w:eastAsia="Arial" w:hAnsi="Arial"/>
          <w:i/>
          <w:iCs/>
          <w:color w:val="595959"/>
          <w:sz w:val="20"/>
          <w:szCs w:val="20"/>
        </w:rPr>
        <w:t xml:space="preserve">Tesis TP202610004 · Universidad Peruana de Ciencias Aplicadas · Versión 2.0</w:t>
      </w:r>
    </w:p>
    <w:p>
      <w:pPr>
        <w:pBdr>
          <w:left w:val="single" w:color="BF8F00" w:sz="18" w:space="10"/>
        </w:pBdr>
        <w:shd w:fill="FFF2CC" w:color="auto" w:val="clear"/>
        <w:spacing w:after="200" w:before="160" w:line="276"/>
        <w:ind w:left="180" w:right="120"/>
        <w:jc w:val="both"/>
      </w:pPr>
      <w:r>
        <w:rPr>
          <w:rFonts w:ascii="Arial" w:cs="Arial" w:eastAsia="Arial" w:hAnsi="Arial"/>
          <w:sz w:val="21"/>
          <w:szCs w:val="21"/>
        </w:rPr>
        <w:t xml:space="preserve">ESTADO: PREREGISTRADO. Este documento fija los criterios de adjudicación con anterioridad a la construcción del instrumento y a la ejecución de las variantes del sistema. Ninguna sección puede modificarse una vez iniciada la adjudicación. Si algo resulta inaplicable en la práctica, se registra como desviación en la sección 11; no se reescribe.</w:t>
      </w:r>
    </w:p>
    <w:p>
      <w:pPr>
        <w:pStyle w:val="Heading1"/>
        <w:spacing w:after="160" w:before="340"/>
      </w:pPr>
      <w:r>
        <w:rPr>
          <w:rFonts w:ascii="Arial" w:cs="Arial" w:eastAsia="Arial" w:hAnsi="Arial"/>
          <w:b/>
          <w:bCs/>
          <w:color w:val="1F3864"/>
          <w:sz w:val="27"/>
          <w:szCs w:val="27"/>
        </w:rPr>
        <w:t xml:space="preserve">1. Propósito</w:t>
      </w:r>
    </w:p>
    <w:p>
      <w:pPr>
        <w:spacing w:after="150" w:before="100" w:line="276"/>
        <w:jc w:val="both"/>
      </w:pPr>
      <w:r>
        <w:rPr>
          <w:rFonts w:ascii="Arial" w:cs="Arial" w:eastAsia="Arial" w:hAnsi="Arial"/>
          <w:b w:val="false"/>
          <w:bCs w:val="false"/>
          <w:i w:val="false"/>
          <w:iCs w:val="false"/>
          <w:sz w:val="22"/>
          <w:szCs w:val="22"/>
        </w:rPr>
        <w:t xml:space="preserve">Obtener juicios de relevancia humanos e independientes que permitan evaluar empíricamente el componente de emparejamiento médico–abogado de la plataforma.</w:t>
      </w:r>
    </w:p>
    <w:p>
      <w:pPr>
        <w:spacing w:after="150" w:before="100" w:line="276"/>
        <w:jc w:val="both"/>
      </w:pPr>
      <w:r>
        <w:rPr>
          <w:rFonts w:ascii="Arial" w:cs="Arial" w:eastAsia="Arial" w:hAnsi="Arial"/>
          <w:b w:val="false"/>
          <w:bCs w:val="false"/>
          <w:i w:val="false"/>
          <w:iCs w:val="false"/>
          <w:sz w:val="22"/>
          <w:szCs w:val="22"/>
        </w:rPr>
        <w:t xml:space="preserve">Estos juicios constituyen el criterio externo contra el cual se mide el sistema. Sin ellos, la evaluación compararía el sistema contra los supuestos de sus propios diseñadores, lo que no constituye validación.</w:t>
      </w:r>
    </w:p>
    <w:p>
      <w:pPr>
        <w:spacing w:after="150" w:before="100" w:line="276"/>
        <w:jc w:val="both"/>
      </w:pPr>
      <w:r>
        <w:rPr>
          <w:rFonts w:ascii="Arial" w:cs="Arial" w:eastAsia="Arial" w:hAnsi="Arial"/>
          <w:b w:val="false"/>
          <w:bCs w:val="false"/>
          <w:i w:val="false"/>
          <w:iCs w:val="false"/>
          <w:sz w:val="22"/>
          <w:szCs w:val="22"/>
        </w:rPr>
        <w:t xml:space="preserve">Responde al indicador </w:t>
      </w:r>
      <w:r>
        <w:rPr>
          <w:rFonts w:ascii="Arial" w:cs="Arial" w:eastAsia="Arial" w:hAnsi="Arial"/>
          <w:b/>
          <w:bCs/>
          <w:i w:val="false"/>
          <w:iCs w:val="false"/>
          <w:sz w:val="22"/>
          <w:szCs w:val="22"/>
        </w:rPr>
        <w:t xml:space="preserve">OE4-I2</w:t>
      </w:r>
      <w:r>
        <w:rPr>
          <w:rFonts w:ascii="Arial" w:cs="Arial" w:eastAsia="Arial" w:hAnsi="Arial"/>
          <w:b w:val="false"/>
          <w:bCs w:val="false"/>
          <w:i w:val="false"/>
          <w:iCs w:val="false"/>
          <w:sz w:val="22"/>
          <w:szCs w:val="22"/>
        </w:rPr>
        <w:t xml:space="preserve"> de la tesis: pertinencia del matching médico–abogado igual o superior al 70 %.</w:t>
      </w:r>
    </w:p>
    <w:p>
      <w:pPr>
        <w:pStyle w:val="Heading1"/>
        <w:spacing w:after="160" w:before="340"/>
      </w:pPr>
      <w:r>
        <w:rPr>
          <w:rFonts w:ascii="Arial" w:cs="Arial" w:eastAsia="Arial" w:hAnsi="Arial"/>
          <w:b/>
          <w:bCs/>
          <w:color w:val="1F3864"/>
          <w:sz w:val="27"/>
          <w:szCs w:val="27"/>
        </w:rPr>
        <w:t xml:space="preserve">2. Qué se juzga y qué no</w:t>
      </w:r>
    </w:p>
    <w:p>
      <w:pPr>
        <w:spacing w:after="150" w:before="100" w:line="276"/>
        <w:jc w:val="both"/>
      </w:pPr>
      <w:r>
        <w:rPr>
          <w:rFonts w:ascii="Arial" w:cs="Arial" w:eastAsia="Arial" w:hAnsi="Arial"/>
          <w:b/>
          <w:bCs/>
          <w:i w:val="false"/>
          <w:iCs w:val="false"/>
          <w:sz w:val="22"/>
          <w:szCs w:val="22"/>
        </w:rPr>
        <w:t xml:space="preserve">Se juzga: </w:t>
      </w:r>
      <w:r>
        <w:rPr>
          <w:rFonts w:ascii="Arial" w:cs="Arial" w:eastAsia="Arial" w:hAnsi="Arial"/>
          <w:b w:val="false"/>
          <w:bCs w:val="false"/>
          <w:i w:val="false"/>
          <w:iCs w:val="false"/>
          <w:sz w:val="22"/>
          <w:szCs w:val="22"/>
        </w:rPr>
        <w:t xml:space="preserve">dado el resumen de una consulta médico-legal y el perfil de un abogado, qué tan apropiado es ese abogado para atender esa consulta.</w:t>
      </w:r>
    </w:p>
    <w:p>
      <w:pPr>
        <w:spacing w:after="150" w:before="100" w:line="276"/>
        <w:jc w:val="both"/>
      </w:pPr>
      <w:r>
        <w:rPr>
          <w:rFonts w:ascii="Arial" w:cs="Arial" w:eastAsia="Arial" w:hAnsi="Arial"/>
          <w:b w:val="false"/>
          <w:bCs w:val="false"/>
          <w:i w:val="false"/>
          <w:iCs w:val="false"/>
          <w:sz w:val="22"/>
          <w:szCs w:val="22"/>
        </w:rPr>
        <w:t xml:space="preserve">No se juzga:</w:t>
      </w:r>
    </w:p>
    <w:p>
      <w:pPr>
        <w:pStyle w:val="ListParagraph"/>
        <w:numPr>
          <w:ilvl w:val="0"/>
          <w:numId w:val="1"/>
        </w:numPr>
        <w:spacing w:after="70" w:before="40" w:line="276"/>
        <w:jc w:val="both"/>
      </w:pPr>
      <w:r>
        <w:rPr>
          <w:rFonts w:ascii="Arial" w:cs="Arial" w:eastAsia="Arial" w:hAnsi="Arial"/>
          <w:b w:val="false"/>
          <w:bCs w:val="false"/>
          <w:sz w:val="22"/>
          <w:szCs w:val="22"/>
        </w:rPr>
        <w:t xml:space="preserve">El nivel de riesgo o la gravedad clínica del caso.</w:t>
      </w:r>
    </w:p>
    <w:p>
      <w:pPr>
        <w:pStyle w:val="ListParagraph"/>
        <w:numPr>
          <w:ilvl w:val="0"/>
          <w:numId w:val="1"/>
        </w:numPr>
        <w:spacing w:after="70" w:before="40" w:line="276"/>
        <w:jc w:val="both"/>
      </w:pPr>
      <w:r>
        <w:rPr>
          <w:rFonts w:ascii="Arial" w:cs="Arial" w:eastAsia="Arial" w:hAnsi="Arial"/>
          <w:b w:val="false"/>
          <w:bCs w:val="false"/>
          <w:sz w:val="22"/>
          <w:szCs w:val="22"/>
        </w:rPr>
        <w:t xml:space="preserve">La calidad de la atención médica descrita.</w:t>
      </w:r>
    </w:p>
    <w:p>
      <w:pPr>
        <w:pStyle w:val="ListParagraph"/>
        <w:numPr>
          <w:ilvl w:val="0"/>
          <w:numId w:val="1"/>
        </w:numPr>
        <w:spacing w:after="70" w:before="40" w:line="276"/>
        <w:jc w:val="both"/>
      </w:pPr>
      <w:r>
        <w:rPr>
          <w:rFonts w:ascii="Arial" w:cs="Arial" w:eastAsia="Arial" w:hAnsi="Arial"/>
          <w:b w:val="false"/>
          <w:bCs w:val="false"/>
          <w:sz w:val="22"/>
          <w:szCs w:val="22"/>
        </w:rPr>
        <w:t xml:space="preserve">La existencia de responsabilidad profesional.</w:t>
      </w:r>
    </w:p>
    <w:p>
      <w:pPr>
        <w:pStyle w:val="ListParagraph"/>
        <w:numPr>
          <w:ilvl w:val="0"/>
          <w:numId w:val="1"/>
        </w:numPr>
        <w:spacing w:after="70" w:before="40" w:line="276"/>
        <w:jc w:val="both"/>
      </w:pPr>
      <w:r>
        <w:rPr>
          <w:rFonts w:ascii="Arial" w:cs="Arial" w:eastAsia="Arial" w:hAnsi="Arial"/>
          <w:b w:val="false"/>
          <w:bCs w:val="false"/>
          <w:sz w:val="22"/>
          <w:szCs w:val="22"/>
        </w:rPr>
        <w:t xml:space="preserve">La calidad del sistema ni de sus recomendaciones.</w:t>
      </w:r>
    </w:p>
    <w:p>
      <w:pPr>
        <w:spacing w:after="150" w:before="100" w:line="276"/>
        <w:jc w:val="both"/>
      </w:pPr>
      <w:r>
        <w:rPr>
          <w:rFonts w:ascii="Arial" w:cs="Arial" w:eastAsia="Arial" w:hAnsi="Arial"/>
          <w:b w:val="false"/>
          <w:bCs w:val="false"/>
          <w:i w:val="false"/>
          <w:iCs w:val="false"/>
          <w:sz w:val="22"/>
          <w:szCs w:val="22"/>
        </w:rPr>
        <w:t xml:space="preserve">Cada par consulta–abogado se juzga de forma independiente. No se ordenan abogados entre sí ni se elige al mejor: se evalúa cada par por separado.</w:t>
      </w:r>
    </w:p>
    <w:p>
      <w:pPr>
        <w:pStyle w:val="Heading1"/>
        <w:spacing w:after="160" w:before="340"/>
      </w:pPr>
      <w:r>
        <w:rPr>
          <w:rFonts w:ascii="Arial" w:cs="Arial" w:eastAsia="Arial" w:hAnsi="Arial"/>
          <w:b/>
          <w:bCs/>
          <w:color w:val="1F3864"/>
          <w:sz w:val="27"/>
          <w:szCs w:val="27"/>
        </w:rPr>
        <w:t xml:space="preserve">3. Adjudicador</w:t>
      </w:r>
    </w:p>
    <w:p>
      <w:pPr>
        <w:spacing w:after="150" w:before="100" w:line="276"/>
        <w:jc w:val="both"/>
      </w:pPr>
      <w:r>
        <w:rPr>
          <w:rFonts w:ascii="Arial" w:cs="Arial" w:eastAsia="Arial" w:hAnsi="Arial"/>
          <w:b/>
          <w:bCs/>
          <w:i w:val="false"/>
          <w:iCs w:val="false"/>
          <w:sz w:val="22"/>
          <w:szCs w:val="22"/>
        </w:rPr>
        <w:t xml:space="preserve">Adjudicador principal: </w:t>
      </w:r>
      <w:r>
        <w:rPr>
          <w:rFonts w:ascii="Arial" w:cs="Arial" w:eastAsia="Arial" w:hAnsi="Arial"/>
          <w:b w:val="false"/>
          <w:bCs w:val="false"/>
          <w:i w:val="false"/>
          <w:iCs w:val="false"/>
          <w:sz w:val="22"/>
          <w:szCs w:val="22"/>
        </w:rPr>
        <w:t xml:space="preserve">médico anestesiólogo con experiencia en peritaje de anestesiología.</w:t>
      </w:r>
    </w:p>
    <w:p>
      <w:pPr>
        <w:spacing w:after="150" w:before="100" w:line="276"/>
        <w:jc w:val="both"/>
      </w:pPr>
      <w:r>
        <w:rPr>
          <w:rFonts w:ascii="Arial" w:cs="Arial" w:eastAsia="Arial" w:hAnsi="Arial"/>
          <w:b/>
          <w:bCs/>
          <w:i w:val="false"/>
          <w:iCs w:val="false"/>
          <w:sz w:val="22"/>
          <w:szCs w:val="22"/>
        </w:rPr>
        <w:t xml:space="preserve">Adjudicador secundario (deseable): </w:t>
      </w:r>
      <w:r>
        <w:rPr>
          <w:rFonts w:ascii="Arial" w:cs="Arial" w:eastAsia="Arial" w:hAnsi="Arial"/>
          <w:b w:val="false"/>
          <w:bCs w:val="false"/>
          <w:i w:val="false"/>
          <w:iCs w:val="false"/>
          <w:sz w:val="22"/>
          <w:szCs w:val="22"/>
        </w:rPr>
        <w:t xml:space="preserve">profesional independiente del entorno familiar, preferentemente abogado de derecho médico o perito de otra especialidad. Su participación permite calcular concordancia entre evaluadores.</w:t>
      </w:r>
    </w:p>
    <w:p>
      <w:pPr>
        <w:pStyle w:val="Heading2"/>
        <w:spacing w:after="130" w:before="260"/>
      </w:pPr>
      <w:r>
        <w:rPr>
          <w:rFonts w:ascii="Arial" w:cs="Arial" w:eastAsia="Arial" w:hAnsi="Arial"/>
          <w:b/>
          <w:bCs/>
          <w:color w:val="1F3864"/>
          <w:sz w:val="23"/>
          <w:szCs w:val="23"/>
        </w:rPr>
        <w:t xml:space="preserve">3.1 Declaración de conflicto de interés</w:t>
      </w:r>
    </w:p>
    <w:p>
      <w:pPr>
        <w:spacing w:after="150" w:before="100" w:line="276"/>
        <w:jc w:val="both"/>
      </w:pPr>
      <w:r>
        <w:rPr>
          <w:rFonts w:ascii="Arial" w:cs="Arial" w:eastAsia="Arial" w:hAnsi="Arial"/>
          <w:b w:val="false"/>
          <w:bCs w:val="false"/>
          <w:i w:val="false"/>
          <w:iCs w:val="false"/>
          <w:sz w:val="22"/>
          <w:szCs w:val="22"/>
        </w:rPr>
        <w:t xml:space="preserve">El adjudicador principal es familiar directo del autor de la tesis. Esta relación se declara de forma expresa y se mitiga mediante cuatro controles de diseño:</w:t>
      </w:r>
    </w:p>
    <w:p>
      <w:pPr>
        <w:pStyle w:val="ListParagraph"/>
        <w:numPr>
          <w:ilvl w:val="0"/>
          <w:numId w:val="2"/>
        </w:numPr>
        <w:spacing w:after="70" w:before="40" w:line="276"/>
        <w:jc w:val="both"/>
      </w:pPr>
      <w:r>
        <w:rPr>
          <w:rFonts w:ascii="Arial" w:cs="Arial" w:eastAsia="Arial" w:hAnsi="Arial"/>
          <w:b/>
          <w:bCs/>
          <w:sz w:val="22"/>
          <w:szCs w:val="22"/>
        </w:rPr>
        <w:t xml:space="preserve">Adjudicación ciega: </w:t>
      </w:r>
      <w:r>
        <w:rPr>
          <w:rFonts w:ascii="Arial" w:cs="Arial" w:eastAsia="Arial" w:hAnsi="Arial"/>
          <w:b w:val="false"/>
          <w:bCs w:val="false"/>
          <w:sz w:val="22"/>
          <w:szCs w:val="22"/>
        </w:rPr>
        <w:t xml:space="preserve">el instrumento no muestra la salida del sistema, ni el orden que propuso, ni qué variante generó cada candidato.</w:t>
      </w:r>
    </w:p>
    <w:p>
      <w:pPr>
        <w:pStyle w:val="ListParagraph"/>
        <w:numPr>
          <w:ilvl w:val="0"/>
          <w:numId w:val="2"/>
        </w:numPr>
        <w:spacing w:after="70" w:before="40" w:line="276"/>
        <w:jc w:val="both"/>
      </w:pPr>
      <w:r>
        <w:rPr>
          <w:rFonts w:ascii="Arial" w:cs="Arial" w:eastAsia="Arial" w:hAnsi="Arial"/>
          <w:b/>
          <w:bCs/>
          <w:sz w:val="22"/>
          <w:szCs w:val="22"/>
        </w:rPr>
        <w:t xml:space="preserve">Criterios preregistrados: </w:t>
      </w:r>
      <w:r>
        <w:rPr>
          <w:rFonts w:ascii="Arial" w:cs="Arial" w:eastAsia="Arial" w:hAnsi="Arial"/>
          <w:b w:val="false"/>
          <w:bCs w:val="false"/>
          <w:sz w:val="22"/>
          <w:szCs w:val="22"/>
        </w:rPr>
        <w:t xml:space="preserve">el presente documento, congelado antes de generar el instrumento.</w:t>
      </w:r>
    </w:p>
    <w:p>
      <w:pPr>
        <w:pStyle w:val="ListParagraph"/>
        <w:numPr>
          <w:ilvl w:val="0"/>
          <w:numId w:val="2"/>
        </w:numPr>
        <w:spacing w:after="70" w:before="40" w:line="276"/>
        <w:jc w:val="both"/>
      </w:pPr>
      <w:r>
        <w:rPr>
          <w:rFonts w:ascii="Arial" w:cs="Arial" w:eastAsia="Arial" w:hAnsi="Arial"/>
          <w:b/>
          <w:bCs/>
          <w:sz w:val="22"/>
          <w:szCs w:val="22"/>
        </w:rPr>
        <w:t xml:space="preserve">Duplicados ocultos: </w:t>
      </w:r>
      <w:r>
        <w:rPr>
          <w:rFonts w:ascii="Arial" w:cs="Arial" w:eastAsia="Arial" w:hAnsi="Arial"/>
          <w:b w:val="false"/>
          <w:bCs w:val="false"/>
          <w:sz w:val="22"/>
          <w:szCs w:val="22"/>
        </w:rPr>
        <w:t xml:space="preserve">entre 10 y 15 pares repetidos para medir consistencia intra-evaluador.</w:t>
      </w:r>
    </w:p>
    <w:p>
      <w:pPr>
        <w:pStyle w:val="ListParagraph"/>
        <w:numPr>
          <w:ilvl w:val="0"/>
          <w:numId w:val="2"/>
        </w:numPr>
        <w:spacing w:after="70" w:before="40" w:line="276"/>
        <w:jc w:val="both"/>
      </w:pPr>
      <w:r>
        <w:rPr>
          <w:rFonts w:ascii="Arial" w:cs="Arial" w:eastAsia="Arial" w:hAnsi="Arial"/>
          <w:b/>
          <w:bCs/>
          <w:sz w:val="22"/>
          <w:szCs w:val="22"/>
        </w:rPr>
        <w:t xml:space="preserve">Controles de adjudicación asíncrona: </w:t>
      </w:r>
      <w:r>
        <w:rPr>
          <w:rFonts w:ascii="Arial" w:cs="Arial" w:eastAsia="Arial" w:hAnsi="Arial"/>
          <w:b w:val="false"/>
          <w:bCs w:val="false"/>
          <w:sz w:val="22"/>
          <w:szCs w:val="22"/>
        </w:rPr>
        <w:t xml:space="preserve">duplicados ampliados, justificación escrita, declaración firmada y entrevista de verificación posterior, conforme a la sección 6.</w:t>
      </w:r>
    </w:p>
    <w:p>
      <w:pPr>
        <w:spacing w:after="150" w:before="100" w:line="276"/>
        <w:jc w:val="both"/>
      </w:pPr>
      <w:r>
        <w:rPr>
          <w:rFonts w:ascii="Arial" w:cs="Arial" w:eastAsia="Arial" w:hAnsi="Arial"/>
          <w:b w:val="false"/>
          <w:bCs w:val="false"/>
          <w:i w:val="false"/>
          <w:iCs w:val="false"/>
          <w:sz w:val="22"/>
          <w:szCs w:val="22"/>
        </w:rPr>
        <w:t xml:space="preserve">Esta declaración se reproduce íntegra en la memoria. La omisión de un conflicto de interés compromete la validez del estudio en mayor medida que su existencia declarada y mitigada.</w:t>
      </w:r>
    </w:p>
    <w:p>
      <w:pPr>
        <w:pStyle w:val="Heading1"/>
        <w:spacing w:after="160" w:before="340"/>
      </w:pPr>
      <w:r>
        <w:rPr>
          <w:rFonts w:ascii="Arial" w:cs="Arial" w:eastAsia="Arial" w:hAnsi="Arial"/>
          <w:b/>
          <w:bCs/>
          <w:color w:val="1F3864"/>
          <w:sz w:val="27"/>
          <w:szCs w:val="27"/>
        </w:rPr>
        <w:t xml:space="preserve">4. Criterios de relevancia</w:t>
      </w:r>
    </w:p>
    <w:p>
      <w:pPr>
        <w:spacing w:after="150" w:before="100" w:line="276"/>
        <w:jc w:val="both"/>
      </w:pPr>
      <w:r>
        <w:rPr>
          <w:rFonts w:ascii="Arial" w:cs="Arial" w:eastAsia="Arial" w:hAnsi="Arial"/>
          <w:b w:val="false"/>
          <w:bCs w:val="false"/>
          <w:i w:val="false"/>
          <w:iCs w:val="false"/>
          <w:sz w:val="22"/>
          <w:szCs w:val="22"/>
        </w:rPr>
        <w:t xml:space="preserve">La adjudicación considera dos dimensiones:</w:t>
      </w:r>
    </w:p>
    <w:p>
      <w:pPr>
        <w:pStyle w:val="ListParagraph"/>
        <w:numPr>
          <w:ilvl w:val="0"/>
          <w:numId w:val="1"/>
        </w:numPr>
        <w:spacing w:after="70" w:before="40" w:line="276"/>
        <w:jc w:val="both"/>
      </w:pPr>
      <w:r>
        <w:rPr>
          <w:rFonts w:ascii="Arial" w:cs="Arial" w:eastAsia="Arial" w:hAnsi="Arial"/>
          <w:b/>
          <w:bCs/>
          <w:sz w:val="22"/>
          <w:szCs w:val="22"/>
        </w:rPr>
        <w:t xml:space="preserve">Dimensión jurídica: </w:t>
      </w:r>
      <w:r>
        <w:rPr>
          <w:rFonts w:ascii="Arial" w:cs="Arial" w:eastAsia="Arial" w:hAnsi="Arial"/>
          <w:b w:val="false"/>
          <w:bCs w:val="false"/>
          <w:sz w:val="22"/>
          <w:szCs w:val="22"/>
        </w:rPr>
        <w:t xml:space="preserve">la vía legal que el caso requiere (civil, penal, administrativa sanitaria, laboral-sanitaria o de seguros) frente a la especialidad declarada del abogado.</w:t>
      </w:r>
    </w:p>
    <w:p>
      <w:pPr>
        <w:pStyle w:val="ListParagraph"/>
        <w:numPr>
          <w:ilvl w:val="0"/>
          <w:numId w:val="1"/>
        </w:numPr>
        <w:spacing w:after="70" w:before="40" w:line="276"/>
        <w:jc w:val="both"/>
      </w:pPr>
      <w:r>
        <w:rPr>
          <w:rFonts w:ascii="Arial" w:cs="Arial" w:eastAsia="Arial" w:hAnsi="Arial"/>
          <w:b/>
          <w:bCs/>
          <w:sz w:val="22"/>
          <w:szCs w:val="22"/>
        </w:rPr>
        <w:t xml:space="preserve">Dimensión clínica: </w:t>
      </w:r>
      <w:r>
        <w:rPr>
          <w:rFonts w:ascii="Arial" w:cs="Arial" w:eastAsia="Arial" w:hAnsi="Arial"/>
          <w:b w:val="false"/>
          <w:bCs w:val="false"/>
          <w:sz w:val="22"/>
          <w:szCs w:val="22"/>
        </w:rPr>
        <w:t xml:space="preserve">la especialidad médica del caso frente a las áreas médicas de experiencia declaradas del abogado.</w:t>
      </w:r>
    </w:p>
    <w:p>
      <w:pPr>
        <w:pStyle w:val="Heading2"/>
        <w:spacing w:after="130" w:before="260"/>
      </w:pPr>
      <w:r>
        <w:rPr>
          <w:rFonts w:ascii="Arial" w:cs="Arial" w:eastAsia="Arial" w:hAnsi="Arial"/>
          <w:b/>
          <w:bCs/>
          <w:color w:val="1F3864"/>
          <w:sz w:val="23"/>
          <w:szCs w:val="23"/>
        </w:rPr>
        <w:t xml:space="preserve">4.1 Escala</w:t>
      </w:r>
    </w:p>
    <w:tbl>
      <w:tblPr>
        <w:tblW w:type="dxa" w:w="9000"/>
        <w:tblBorders>
          <w:top w:val="single" w:color="AAAAAA" w:sz="6"/>
          <w:left w:val="single" w:color="AAAAAA" w:sz="6"/>
          <w:bottom w:val="single" w:color="AAAAAA" w:sz="6"/>
          <w:right w:val="single" w:color="AAAAAA" w:sz="6"/>
          <w:insideH w:val="single" w:color="AAAAAA" w:sz="6"/>
          <w:insideV w:val="single" w:color="AAAAAA" w:sz="6"/>
        </w:tblBorders>
      </w:tblPr>
      <w:tblGrid>
        <w:gridCol w:w="900"/>
        <w:gridCol w:w="1900"/>
        <w:gridCol w:w="6200"/>
      </w:tblGrid>
      <w:tr>
        <w:trPr>
          <w:tblHeader/>
        </w:trPr>
        <w:tc>
          <w:tcPr>
            <w:tcW w:type="dxa" w:w="900"/>
            <w:shd w:fill="D9E2F3" w:color="auto" w:val="clear"/>
            <w:tcMar>
              <w:top w:type="dxa" w:w="80"/>
              <w:left w:type="dxa" w:w="110"/>
              <w:bottom w:type="dxa" w:w="80"/>
              <w:right w:type="dxa" w:w="110"/>
            </w:tcMar>
          </w:tcPr>
          <w:p>
            <w:pPr>
              <w:spacing w:after="0" w:before="0" w:line="260"/>
              <w:jc w:val="center"/>
            </w:pPr>
            <w:r>
              <w:rPr>
                <w:rFonts w:ascii="Arial" w:cs="Arial" w:eastAsia="Arial" w:hAnsi="Arial"/>
                <w:b/>
                <w:bCs/>
                <w:sz w:val="20"/>
                <w:szCs w:val="20"/>
              </w:rPr>
              <w:t xml:space="preserve">Valor</w:t>
            </w:r>
          </w:p>
        </w:tc>
        <w:tc>
          <w:tcPr>
            <w:tcW w:type="dxa" w:w="19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Etiqueta</w:t>
            </w:r>
          </w:p>
        </w:tc>
        <w:tc>
          <w:tcPr>
            <w:tcW w:type="dxa" w:w="62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Definición operativa</w:t>
            </w:r>
          </w:p>
        </w:tc>
      </w:tr>
      <w:tr>
        <w:trPr>
          <w:tblHeader w:val="false"/>
        </w:trPr>
        <w:tc>
          <w:tcPr>
            <w:tcW w:type="dxa" w:w="900"/>
            <w:tcMar>
              <w:top w:type="dxa" w:w="80"/>
              <w:left w:type="dxa" w:w="110"/>
              <w:bottom w:type="dxa" w:w="80"/>
              <w:right w:type="dxa" w:w="110"/>
            </w:tcMar>
          </w:tcPr>
          <w:p>
            <w:pPr>
              <w:spacing w:after="0" w:before="0" w:line="260"/>
              <w:jc w:val="center"/>
            </w:pPr>
            <w:r>
              <w:rPr>
                <w:rFonts w:ascii="Arial" w:cs="Arial" w:eastAsia="Arial" w:hAnsi="Arial"/>
                <w:b w:val="false"/>
                <w:bCs w:val="false"/>
                <w:sz w:val="20"/>
                <w:szCs w:val="20"/>
              </w:rPr>
              <w:t xml:space="preserve">2</w:t>
            </w:r>
          </w:p>
        </w:tc>
        <w:tc>
          <w:tcPr>
            <w:tcW w:type="dxa" w:w="19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Claramente apropiado</w:t>
            </w:r>
          </w:p>
        </w:tc>
        <w:tc>
          <w:tcPr>
            <w:tcW w:type="dxa" w:w="62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Coinciden ambas dimensiones: la especialidad legal del abogado corresponde a la vía que el caso requiere, y tiene experiencia declarada en el área médica del caso o en un área clínicamente adyacente.</w:t>
            </w:r>
          </w:p>
        </w:tc>
      </w:tr>
      <w:tr>
        <w:trPr>
          <w:tblHeader w:val="false"/>
        </w:trPr>
        <w:tc>
          <w:tcPr>
            <w:tcW w:type="dxa" w:w="900"/>
            <w:tcMar>
              <w:top w:type="dxa" w:w="80"/>
              <w:left w:type="dxa" w:w="110"/>
              <w:bottom w:type="dxa" w:w="80"/>
              <w:right w:type="dxa" w:w="110"/>
            </w:tcMar>
          </w:tcPr>
          <w:p>
            <w:pPr>
              <w:spacing w:after="0" w:before="0" w:line="260"/>
              <w:jc w:val="center"/>
            </w:pPr>
            <w:r>
              <w:rPr>
                <w:rFonts w:ascii="Arial" w:cs="Arial" w:eastAsia="Arial" w:hAnsi="Arial"/>
                <w:b w:val="false"/>
                <w:bCs w:val="false"/>
                <w:sz w:val="20"/>
                <w:szCs w:val="20"/>
              </w:rPr>
              <w:t xml:space="preserve">1</w:t>
            </w:r>
          </w:p>
        </w:tc>
        <w:tc>
          <w:tcPr>
            <w:tcW w:type="dxa" w:w="19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Parcialmente apropiado</w:t>
            </w:r>
          </w:p>
        </w:tc>
        <w:tc>
          <w:tcPr>
            <w:tcW w:type="dxa" w:w="62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Coincide una dimensión y la otra no. Incluye al abogado con la vía jurídica correcta pero sin experiencia en el área médica, y al que tiene experiencia en el área médica pero cuya especialidad legal no es la vía principal del caso. Podría llevar el caso, pero no es el perfil idóneo.</w:t>
            </w:r>
          </w:p>
        </w:tc>
      </w:tr>
      <w:tr>
        <w:trPr>
          <w:tblHeader w:val="false"/>
        </w:trPr>
        <w:tc>
          <w:tcPr>
            <w:tcW w:type="dxa" w:w="900"/>
            <w:tcMar>
              <w:top w:type="dxa" w:w="80"/>
              <w:left w:type="dxa" w:w="110"/>
              <w:bottom w:type="dxa" w:w="80"/>
              <w:right w:type="dxa" w:w="110"/>
            </w:tcMar>
          </w:tcPr>
          <w:p>
            <w:pPr>
              <w:spacing w:after="0" w:before="0" w:line="260"/>
              <w:jc w:val="center"/>
            </w:pPr>
            <w:r>
              <w:rPr>
                <w:rFonts w:ascii="Arial" w:cs="Arial" w:eastAsia="Arial" w:hAnsi="Arial"/>
                <w:b w:val="false"/>
                <w:bCs w:val="false"/>
                <w:sz w:val="20"/>
                <w:szCs w:val="20"/>
              </w:rPr>
              <w:t xml:space="preserve">0</w:t>
            </w:r>
          </w:p>
        </w:tc>
        <w:tc>
          <w:tcPr>
            <w:tcW w:type="dxa" w:w="19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No apropiado</w:t>
            </w:r>
          </w:p>
        </w:tc>
        <w:tc>
          <w:tcPr>
            <w:tcW w:type="dxa" w:w="62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No coincide ninguna dimensión, o la especialidad legal es claramente ajena a lo que el caso requiere.</w:t>
            </w:r>
          </w:p>
        </w:tc>
      </w:tr>
    </w:tbl>
    <w:p>
      <w:pPr>
        <w:spacing w:after="120"/>
      </w:pPr>
    </w:p>
    <w:p>
      <w:pPr>
        <w:pStyle w:val="Heading2"/>
        <w:spacing w:after="130" w:before="260"/>
      </w:pPr>
      <w:r>
        <w:rPr>
          <w:rFonts w:ascii="Arial" w:cs="Arial" w:eastAsia="Arial" w:hAnsi="Arial"/>
          <w:b/>
          <w:bCs/>
          <w:color w:val="1F3864"/>
          <w:sz w:val="23"/>
          <w:szCs w:val="23"/>
        </w:rPr>
        <w:t xml:space="preserve">4.2 Reglas para casos límite</w:t>
      </w:r>
    </w:p>
    <w:p>
      <w:pPr>
        <w:spacing w:after="150" w:before="100" w:line="276"/>
        <w:jc w:val="both"/>
      </w:pPr>
      <w:r>
        <w:rPr>
          <w:rFonts w:ascii="Arial" w:cs="Arial" w:eastAsia="Arial" w:hAnsi="Arial"/>
          <w:b w:val="false"/>
          <w:bCs w:val="false"/>
          <w:i w:val="false"/>
          <w:iCs w:val="false"/>
          <w:sz w:val="22"/>
          <w:szCs w:val="22"/>
        </w:rPr>
        <w:t xml:space="preserve">Fijadas de antemano para evitar decisiones improvisadas durante la sesión.</w:t>
      </w:r>
    </w:p>
    <w:p>
      <w:pPr>
        <w:pStyle w:val="ListParagraph"/>
        <w:numPr>
          <w:ilvl w:val="0"/>
          <w:numId w:val="1"/>
        </w:numPr>
        <w:spacing w:after="70" w:before="40" w:line="276"/>
        <w:jc w:val="both"/>
      </w:pPr>
      <w:r>
        <w:rPr>
          <w:rFonts w:ascii="Arial" w:cs="Arial" w:eastAsia="Arial" w:hAnsi="Arial"/>
          <w:b/>
          <w:bCs/>
          <w:sz w:val="22"/>
          <w:szCs w:val="22"/>
        </w:rPr>
        <w:t xml:space="preserve">Un caso admite más de una vía jurídica. </w:t>
      </w:r>
      <w:r>
        <w:rPr>
          <w:rFonts w:ascii="Arial" w:cs="Arial" w:eastAsia="Arial" w:hAnsi="Arial"/>
          <w:b w:val="false"/>
          <w:bCs w:val="false"/>
          <w:sz w:val="22"/>
          <w:szCs w:val="22"/>
        </w:rPr>
        <w:t xml:space="preserve">Se juzga contra la vía principal implicada por la descripción. Si el texto resulta ambiguo entre dos vías, cualquiera de ellas cuenta como coincidencia en la dimensión jurídica.</w:t>
      </w:r>
    </w:p>
    <w:p>
      <w:pPr>
        <w:pStyle w:val="ListParagraph"/>
        <w:numPr>
          <w:ilvl w:val="0"/>
          <w:numId w:val="1"/>
        </w:numPr>
        <w:spacing w:after="70" w:before="40" w:line="276"/>
        <w:jc w:val="both"/>
      </w:pPr>
      <w:r>
        <w:rPr>
          <w:rFonts w:ascii="Arial" w:cs="Arial" w:eastAsia="Arial" w:hAnsi="Arial"/>
          <w:b/>
          <w:bCs/>
          <w:sz w:val="22"/>
          <w:szCs w:val="22"/>
        </w:rPr>
        <w:t xml:space="preserve">Áreas médicas adyacentes. </w:t>
      </w:r>
      <w:r>
        <w:rPr>
          <w:rFonts w:ascii="Arial" w:cs="Arial" w:eastAsia="Arial" w:hAnsi="Arial"/>
          <w:b w:val="false"/>
          <w:bCs w:val="false"/>
          <w:sz w:val="22"/>
          <w:szCs w:val="22"/>
        </w:rPr>
        <w:t xml:space="preserve">Se aceptan como coincidencia en la dimensión clínica cuando comparten contexto asistencial, por ejemplo anestesiología y cirugía, o medicina intensiva y emergencia. El adjudicador aplica su criterio profesional y, si el caso es dudoso, marca confianza baja.</w:t>
      </w:r>
    </w:p>
    <w:p>
      <w:pPr>
        <w:pStyle w:val="ListParagraph"/>
        <w:numPr>
          <w:ilvl w:val="0"/>
          <w:numId w:val="1"/>
        </w:numPr>
        <w:spacing w:after="70" w:before="40" w:line="276"/>
        <w:jc w:val="both"/>
      </w:pPr>
      <w:r>
        <w:rPr>
          <w:rFonts w:ascii="Arial" w:cs="Arial" w:eastAsia="Arial" w:hAnsi="Arial"/>
          <w:b/>
          <w:bCs/>
          <w:sz w:val="22"/>
          <w:szCs w:val="22"/>
        </w:rPr>
        <w:t xml:space="preserve">Experiencia. </w:t>
      </w:r>
      <w:r>
        <w:rPr>
          <w:rFonts w:ascii="Arial" w:cs="Arial" w:eastAsia="Arial" w:hAnsi="Arial"/>
          <w:b w:val="false"/>
          <w:bCs w:val="false"/>
          <w:sz w:val="22"/>
          <w:szCs w:val="22"/>
        </w:rPr>
        <w:t xml:space="preserve">Los años de ejercicio y los casos resueltos modulan el juicio dentro de una categoría, pero no la determinan por sí solos. Un abogado sin coincidencia en ninguna dimensión no asciende a 1 por tener veinte años de experiencia.</w:t>
      </w:r>
    </w:p>
    <w:p>
      <w:pPr>
        <w:pStyle w:val="ListParagraph"/>
        <w:numPr>
          <w:ilvl w:val="0"/>
          <w:numId w:val="1"/>
        </w:numPr>
        <w:spacing w:after="70" w:before="40" w:line="276"/>
        <w:jc w:val="both"/>
      </w:pPr>
      <w:r>
        <w:rPr>
          <w:rFonts w:ascii="Arial" w:cs="Arial" w:eastAsia="Arial" w:hAnsi="Arial"/>
          <w:b/>
          <w:bCs/>
          <w:sz w:val="22"/>
          <w:szCs w:val="22"/>
        </w:rPr>
        <w:t xml:space="preserve">Disponibilidad. </w:t>
      </w:r>
      <w:r>
        <w:rPr>
          <w:rFonts w:ascii="Arial" w:cs="Arial" w:eastAsia="Arial" w:hAnsi="Arial"/>
          <w:b w:val="false"/>
          <w:bCs w:val="false"/>
          <w:sz w:val="22"/>
          <w:szCs w:val="22"/>
        </w:rPr>
        <w:t xml:space="preserve">No se considera. Es un filtro operativo previo del sistema, ajeno a la pertinencia profesional.</w:t>
      </w:r>
    </w:p>
    <w:p>
      <w:pPr>
        <w:pStyle w:val="ListParagraph"/>
        <w:numPr>
          <w:ilvl w:val="0"/>
          <w:numId w:val="1"/>
        </w:numPr>
        <w:spacing w:after="70" w:before="40" w:line="276"/>
        <w:jc w:val="both"/>
      </w:pPr>
      <w:r>
        <w:rPr>
          <w:rFonts w:ascii="Arial" w:cs="Arial" w:eastAsia="Arial" w:hAnsi="Arial"/>
          <w:b/>
          <w:bCs/>
          <w:sz w:val="22"/>
          <w:szCs w:val="22"/>
        </w:rPr>
        <w:t xml:space="preserve">Perfiles muy similares. </w:t>
      </w:r>
      <w:r>
        <w:rPr>
          <w:rFonts w:ascii="Arial" w:cs="Arial" w:eastAsia="Arial" w:hAnsi="Arial"/>
          <w:b w:val="false"/>
          <w:bCs w:val="false"/>
          <w:sz w:val="22"/>
          <w:szCs w:val="22"/>
        </w:rPr>
        <w:t xml:space="preserve">Si dos abogados resultan equivalentes, ambos reciben el mismo valor. No existe obligación de diferenciarlos.</w:t>
      </w:r>
    </w:p>
    <w:p>
      <w:pPr>
        <w:pStyle w:val="Heading2"/>
        <w:spacing w:after="130" w:before="260"/>
      </w:pPr>
      <w:r>
        <w:rPr>
          <w:rFonts w:ascii="Arial" w:cs="Arial" w:eastAsia="Arial" w:hAnsi="Arial"/>
          <w:b/>
          <w:bCs/>
          <w:color w:val="1F3864"/>
          <w:sz w:val="23"/>
          <w:szCs w:val="23"/>
        </w:rPr>
        <w:t xml:space="preserve">4.3 Escala de confianza</w:t>
      </w:r>
    </w:p>
    <w:tbl>
      <w:tblPr>
        <w:tblW w:type="dxa" w:w="9000"/>
        <w:tblBorders>
          <w:top w:val="single" w:color="AAAAAA" w:sz="6"/>
          <w:left w:val="single" w:color="AAAAAA" w:sz="6"/>
          <w:bottom w:val="single" w:color="AAAAAA" w:sz="6"/>
          <w:right w:val="single" w:color="AAAAAA" w:sz="6"/>
          <w:insideH w:val="single" w:color="AAAAAA" w:sz="6"/>
          <w:insideV w:val="single" w:color="AAAAAA" w:sz="6"/>
        </w:tblBorders>
      </w:tblPr>
      <w:tblGrid>
        <w:gridCol w:w="1500"/>
        <w:gridCol w:w="7500"/>
      </w:tblGrid>
      <w:tr>
        <w:trPr>
          <w:tblHeader/>
        </w:trPr>
        <w:tc>
          <w:tcPr>
            <w:tcW w:type="dxa" w:w="15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Valor</w:t>
            </w:r>
          </w:p>
        </w:tc>
        <w:tc>
          <w:tcPr>
            <w:tcW w:type="dxa" w:w="75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Significado</w:t>
            </w:r>
          </w:p>
        </w:tc>
      </w:tr>
      <w:tr>
        <w:trPr>
          <w:tblHeader w:val="false"/>
        </w:trPr>
        <w:tc>
          <w:tcPr>
            <w:tcW w:type="dxa" w:w="1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Alta</w:t>
            </w:r>
          </w:p>
        </w:tc>
        <w:tc>
          <w:tcPr>
            <w:tcW w:type="dxa" w:w="7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Criterio firme, dentro de su dominio de experiencia.</w:t>
            </w:r>
          </w:p>
        </w:tc>
      </w:tr>
      <w:tr>
        <w:trPr>
          <w:tblHeader w:val="false"/>
        </w:trPr>
        <w:tc>
          <w:tcPr>
            <w:tcW w:type="dxa" w:w="1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Media</w:t>
            </w:r>
          </w:p>
        </w:tc>
        <w:tc>
          <w:tcPr>
            <w:tcW w:type="dxa" w:w="7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Juicio razonable, con algún elemento fuera de su dominio.</w:t>
            </w:r>
          </w:p>
        </w:tc>
      </w:tr>
      <w:tr>
        <w:trPr>
          <w:tblHeader w:val="false"/>
        </w:trPr>
        <w:tc>
          <w:tcPr>
            <w:tcW w:type="dxa" w:w="1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Baja</w:t>
            </w:r>
          </w:p>
        </w:tc>
        <w:tc>
          <w:tcPr>
            <w:tcW w:type="dxa" w:w="7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Fuera de su dominio, o descripción insuficiente para decidir.</w:t>
            </w:r>
          </w:p>
        </w:tc>
      </w:tr>
    </w:tbl>
    <w:p>
      <w:pPr>
        <w:spacing w:after="120"/>
      </w:pPr>
    </w:p>
    <w:p>
      <w:pPr>
        <w:spacing w:after="150" w:before="100" w:line="276"/>
        <w:jc w:val="both"/>
      </w:pPr>
      <w:r>
        <w:rPr>
          <w:rFonts w:ascii="Arial" w:cs="Arial" w:eastAsia="Arial" w:hAnsi="Arial"/>
          <w:b w:val="false"/>
          <w:bCs w:val="false"/>
          <w:i w:val="false"/>
          <w:iCs w:val="false"/>
          <w:sz w:val="22"/>
          <w:szCs w:val="22"/>
        </w:rPr>
        <w:t xml:space="preserve">Marcar confianza baja es una respuesta válida y esperada. Resulta preferible a forzar un juicio o a buscar información externa. La confianza declarada se emplea en el análisis segmentado de la sección 7.</w:t>
      </w:r>
    </w:p>
    <w:p>
      <w:pPr>
        <w:pStyle w:val="Heading1"/>
        <w:spacing w:after="160" w:before="340"/>
      </w:pPr>
      <w:r>
        <w:rPr>
          <w:rFonts w:ascii="Arial" w:cs="Arial" w:eastAsia="Arial" w:hAnsi="Arial"/>
          <w:b/>
          <w:bCs/>
          <w:color w:val="1F3864"/>
          <w:sz w:val="27"/>
          <w:szCs w:val="27"/>
        </w:rPr>
        <w:t xml:space="preserve">5. Diseño del instrumento</w:t>
      </w:r>
    </w:p>
    <w:p>
      <w:pPr>
        <w:pStyle w:val="Heading2"/>
        <w:spacing w:after="130" w:before="260"/>
      </w:pPr>
      <w:r>
        <w:rPr>
          <w:rFonts w:ascii="Arial" w:cs="Arial" w:eastAsia="Arial" w:hAnsi="Arial"/>
          <w:b/>
          <w:bCs/>
          <w:color w:val="1F3864"/>
          <w:sz w:val="23"/>
          <w:szCs w:val="23"/>
        </w:rPr>
        <w:t xml:space="preserve">5.1 Construcción del conjunto a juzgar (pooling)</w:t>
      </w:r>
    </w:p>
    <w:p>
      <w:pPr>
        <w:spacing w:after="150" w:before="100" w:line="276"/>
        <w:jc w:val="both"/>
      </w:pPr>
      <w:r>
        <w:rPr>
          <w:rFonts w:ascii="Arial" w:cs="Arial" w:eastAsia="Arial" w:hAnsi="Arial"/>
          <w:b w:val="false"/>
          <w:bCs w:val="false"/>
          <w:i w:val="false"/>
          <w:iCs w:val="false"/>
          <w:sz w:val="22"/>
          <w:szCs w:val="22"/>
        </w:rPr>
        <w:t xml:space="preserve">Se aplica la técnica estándar de las colecciones TREC:</w:t>
      </w:r>
    </w:p>
    <w:p>
      <w:pPr>
        <w:pStyle w:val="ListParagraph"/>
        <w:numPr>
          <w:ilvl w:val="0"/>
          <w:numId w:val="3"/>
        </w:numPr>
        <w:spacing w:after="70" w:before="40" w:line="276"/>
        <w:jc w:val="both"/>
      </w:pPr>
      <w:r>
        <w:rPr>
          <w:rFonts w:ascii="Arial" w:cs="Arial" w:eastAsia="Arial" w:hAnsi="Arial"/>
          <w:b w:val="false"/>
          <w:bCs w:val="false"/>
          <w:sz w:val="22"/>
          <w:szCs w:val="22"/>
        </w:rPr>
        <w:t xml:space="preserve">Ejecutar todas las variantes del sistema sobre cada consulta.</w:t>
      </w:r>
    </w:p>
    <w:p>
      <w:pPr>
        <w:pStyle w:val="ListParagraph"/>
        <w:numPr>
          <w:ilvl w:val="0"/>
          <w:numId w:val="3"/>
        </w:numPr>
        <w:spacing w:after="70" w:before="40" w:line="276"/>
        <w:jc w:val="both"/>
      </w:pPr>
      <w:r>
        <w:rPr>
          <w:rFonts w:ascii="Arial" w:cs="Arial" w:eastAsia="Arial" w:hAnsi="Arial"/>
          <w:b w:val="false"/>
          <w:bCs w:val="false"/>
          <w:sz w:val="22"/>
          <w:szCs w:val="22"/>
        </w:rPr>
        <w:t xml:space="preserve">Tomar la unión de los diez primeros resultados de cada variante.</w:t>
      </w:r>
    </w:p>
    <w:p>
      <w:pPr>
        <w:pStyle w:val="ListParagraph"/>
        <w:numPr>
          <w:ilvl w:val="0"/>
          <w:numId w:val="3"/>
        </w:numPr>
        <w:spacing w:after="70" w:before="40" w:line="276"/>
        <w:jc w:val="both"/>
      </w:pPr>
      <w:r>
        <w:rPr>
          <w:rFonts w:ascii="Arial" w:cs="Arial" w:eastAsia="Arial" w:hAnsi="Arial"/>
          <w:b w:val="false"/>
          <w:bCs w:val="false"/>
          <w:sz w:val="22"/>
          <w:szCs w:val="22"/>
        </w:rPr>
        <w:t xml:space="preserve">Presentar esa unión al adjudicador.</w:t>
      </w:r>
    </w:p>
    <w:p>
      <w:pPr>
        <w:spacing w:after="150" w:before="100" w:line="276"/>
        <w:jc w:val="both"/>
      </w:pPr>
      <w:r>
        <w:rPr>
          <w:rFonts w:ascii="Arial" w:cs="Arial" w:eastAsia="Arial" w:hAnsi="Arial"/>
          <w:b w:val="false"/>
          <w:bCs w:val="false"/>
          <w:i w:val="false"/>
          <w:iCs w:val="false"/>
          <w:sz w:val="22"/>
          <w:szCs w:val="22"/>
        </w:rPr>
        <w:t xml:space="preserve">Volumen estimado: entre 8 y 12 candidatos únicos por consulta, sobre 20 a 25 consultas, lo que arroja entre 200 y 250 pares.</w:t>
      </w:r>
    </w:p>
    <w:p>
      <w:pPr>
        <w:pStyle w:val="Heading2"/>
        <w:spacing w:after="130" w:before="260"/>
      </w:pPr>
      <w:r>
        <w:rPr>
          <w:rFonts w:ascii="Arial" w:cs="Arial" w:eastAsia="Arial" w:hAnsi="Arial"/>
          <w:b/>
          <w:bCs/>
          <w:color w:val="1F3864"/>
          <w:sz w:val="23"/>
          <w:szCs w:val="23"/>
        </w:rPr>
        <w:t xml:space="preserve">5.2 Requisitos de cegamiento</w:t>
      </w:r>
    </w:p>
    <w:p>
      <w:pPr>
        <w:spacing w:after="150" w:before="100" w:line="276"/>
        <w:jc w:val="both"/>
      </w:pPr>
      <w:r>
        <w:rPr>
          <w:rFonts w:ascii="Arial" w:cs="Arial" w:eastAsia="Arial" w:hAnsi="Arial"/>
          <w:b w:val="false"/>
          <w:bCs w:val="false"/>
          <w:i w:val="false"/>
          <w:iCs w:val="false"/>
          <w:sz w:val="22"/>
          <w:szCs w:val="22"/>
        </w:rPr>
        <w:t xml:space="preserve">El instrumento no debe contener, bajo ninguna circunstancia:</w:t>
      </w:r>
    </w:p>
    <w:p>
      <w:pPr>
        <w:pStyle w:val="ListParagraph"/>
        <w:numPr>
          <w:ilvl w:val="0"/>
          <w:numId w:val="1"/>
        </w:numPr>
        <w:spacing w:after="70" w:before="40" w:line="276"/>
        <w:jc w:val="both"/>
      </w:pPr>
      <w:r>
        <w:rPr>
          <w:rFonts w:ascii="Arial" w:cs="Arial" w:eastAsia="Arial" w:hAnsi="Arial"/>
          <w:b w:val="false"/>
          <w:bCs w:val="false"/>
          <w:sz w:val="22"/>
          <w:szCs w:val="22"/>
        </w:rPr>
        <w:t xml:space="preserve">La puntuación asignada por el sistema.</w:t>
      </w:r>
    </w:p>
    <w:p>
      <w:pPr>
        <w:pStyle w:val="ListParagraph"/>
        <w:numPr>
          <w:ilvl w:val="0"/>
          <w:numId w:val="1"/>
        </w:numPr>
        <w:spacing w:after="70" w:before="40" w:line="276"/>
        <w:jc w:val="both"/>
      </w:pPr>
      <w:r>
        <w:rPr>
          <w:rFonts w:ascii="Arial" w:cs="Arial" w:eastAsia="Arial" w:hAnsi="Arial"/>
          <w:b w:val="false"/>
          <w:bCs w:val="false"/>
          <w:sz w:val="22"/>
          <w:szCs w:val="22"/>
        </w:rPr>
        <w:t xml:space="preserve">La posición del candidato en el ranking.</w:t>
      </w:r>
    </w:p>
    <w:p>
      <w:pPr>
        <w:pStyle w:val="ListParagraph"/>
        <w:numPr>
          <w:ilvl w:val="0"/>
          <w:numId w:val="1"/>
        </w:numPr>
        <w:spacing w:after="70" w:before="40" w:line="276"/>
        <w:jc w:val="both"/>
      </w:pPr>
      <w:r>
        <w:rPr>
          <w:rFonts w:ascii="Arial" w:cs="Arial" w:eastAsia="Arial" w:hAnsi="Arial"/>
          <w:b w:val="false"/>
          <w:bCs w:val="false"/>
          <w:sz w:val="22"/>
          <w:szCs w:val="22"/>
        </w:rPr>
        <w:t xml:space="preserve">La variante que propuso cada candidato.</w:t>
      </w:r>
    </w:p>
    <w:p>
      <w:pPr>
        <w:pStyle w:val="ListParagraph"/>
        <w:numPr>
          <w:ilvl w:val="0"/>
          <w:numId w:val="1"/>
        </w:numPr>
        <w:spacing w:after="70" w:before="40" w:line="276"/>
        <w:jc w:val="both"/>
      </w:pPr>
      <w:r>
        <w:rPr>
          <w:rFonts w:ascii="Arial" w:cs="Arial" w:eastAsia="Arial" w:hAnsi="Arial"/>
          <w:b w:val="false"/>
          <w:bCs w:val="false"/>
          <w:sz w:val="22"/>
          <w:szCs w:val="22"/>
        </w:rPr>
        <w:t xml:space="preserve">Ninguna indicación de qué respuesta se considera correcta.</w:t>
      </w:r>
    </w:p>
    <w:p>
      <w:pPr>
        <w:spacing w:after="150" w:before="100" w:line="276"/>
        <w:jc w:val="both"/>
      </w:pPr>
      <w:r>
        <w:rPr>
          <w:rFonts w:ascii="Arial" w:cs="Arial" w:eastAsia="Arial" w:hAnsi="Arial"/>
          <w:b w:val="false"/>
          <w:bCs w:val="false"/>
          <w:i w:val="false"/>
          <w:iCs w:val="false"/>
          <w:sz w:val="22"/>
          <w:szCs w:val="22"/>
        </w:rPr>
        <w:t xml:space="preserve">Los candidatos de cada consulta se presentan en orden aleatorio, con semilla fija y documentada.</w:t>
      </w:r>
    </w:p>
    <w:p>
      <w:pPr>
        <w:pStyle w:val="Heading2"/>
        <w:spacing w:after="130" w:before="260"/>
      </w:pPr>
      <w:r>
        <w:rPr>
          <w:rFonts w:ascii="Arial" w:cs="Arial" w:eastAsia="Arial" w:hAnsi="Arial"/>
          <w:b/>
          <w:bCs/>
          <w:color w:val="1F3864"/>
          <w:sz w:val="23"/>
          <w:szCs w:val="23"/>
        </w:rPr>
        <w:t xml:space="preserve">5.3 Duplicados</w:t>
      </w:r>
    </w:p>
    <w:p>
      <w:pPr>
        <w:spacing w:after="150" w:before="100" w:line="276"/>
        <w:jc w:val="both"/>
      </w:pPr>
      <w:r>
        <w:rPr>
          <w:rFonts w:ascii="Arial" w:cs="Arial" w:eastAsia="Arial" w:hAnsi="Arial"/>
          <w:b w:val="false"/>
          <w:bCs w:val="false"/>
          <w:i w:val="false"/>
          <w:iCs w:val="false"/>
          <w:sz w:val="22"/>
          <w:szCs w:val="22"/>
        </w:rPr>
        <w:t xml:space="preserve">Se insertan entre 10 y 15 pares repetidos, separados por al menos treinta posiciones respecto de su primera aparición y sin identificación visible. Permiten medir concordancia intra-evaluador por re-test.</w:t>
      </w:r>
    </w:p>
    <w:p>
      <w:pPr>
        <w:pStyle w:val="Heading2"/>
        <w:spacing w:after="130" w:before="260"/>
      </w:pPr>
      <w:r>
        <w:rPr>
          <w:rFonts w:ascii="Arial" w:cs="Arial" w:eastAsia="Arial" w:hAnsi="Arial"/>
          <w:b/>
          <w:bCs/>
          <w:color w:val="1F3864"/>
          <w:sz w:val="23"/>
          <w:szCs w:val="23"/>
        </w:rPr>
        <w:t xml:space="preserve">5.4 Justificación en submuestra</w:t>
      </w:r>
    </w:p>
    <w:p>
      <w:pPr>
        <w:spacing w:after="150" w:before="100" w:line="276"/>
        <w:jc w:val="both"/>
      </w:pPr>
      <w:r>
        <w:rPr>
          <w:rFonts w:ascii="Arial" w:cs="Arial" w:eastAsia="Arial" w:hAnsi="Arial"/>
          <w:b w:val="false"/>
          <w:bCs w:val="false"/>
          <w:i w:val="false"/>
          <w:iCs w:val="false"/>
          <w:sz w:val="22"/>
          <w:szCs w:val="22"/>
        </w:rPr>
        <w:t xml:space="preserve">En veinte pares seleccionados de antemano se solicita una justificación breve de una línea. Cumple dos funciones: aporta material cualitativo para la memoria y permite verificar que el juicio proviene de criterio profesional.</w:t>
      </w:r>
    </w:p>
    <w:p>
      <w:pPr>
        <w:pStyle w:val="Heading2"/>
        <w:spacing w:after="130" w:before="260"/>
      </w:pPr>
      <w:r>
        <w:rPr>
          <w:rFonts w:ascii="Arial" w:cs="Arial" w:eastAsia="Arial" w:hAnsi="Arial"/>
          <w:b/>
          <w:bCs/>
          <w:color w:val="1F3864"/>
          <w:sz w:val="23"/>
          <w:szCs w:val="23"/>
        </w:rPr>
        <w:t xml:space="preserve">5.5 Formato</w:t>
      </w:r>
    </w:p>
    <w:tbl>
      <w:tblPr>
        <w:tblW w:type="dxa" w:w="9000"/>
        <w:tblBorders>
          <w:top w:val="single" w:color="AAAAAA" w:sz="6"/>
          <w:left w:val="single" w:color="AAAAAA" w:sz="6"/>
          <w:bottom w:val="single" w:color="AAAAAA" w:sz="6"/>
          <w:right w:val="single" w:color="AAAAAA" w:sz="6"/>
          <w:insideH w:val="single" w:color="AAAAAA" w:sz="6"/>
          <w:insideV w:val="single" w:color="AAAAAA" w:sz="6"/>
        </w:tblBorders>
      </w:tblPr>
      <w:tblGrid>
        <w:gridCol w:w="2000"/>
        <w:gridCol w:w="7000"/>
      </w:tblGrid>
      <w:tr>
        <w:trPr>
          <w:tblHeader/>
        </w:trPr>
        <w:tc>
          <w:tcPr>
            <w:tcW w:type="dxa" w:w="20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Hoja</w:t>
            </w:r>
          </w:p>
        </w:tc>
        <w:tc>
          <w:tcPr>
            <w:tcW w:type="dxa" w:w="70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Contenido</w:t>
            </w:r>
          </w:p>
        </w:tc>
      </w:tr>
      <w:tr>
        <w:trPr>
          <w:tblHeader w:val="false"/>
        </w:trPr>
        <w:tc>
          <w:tcPr>
            <w:tcW w:type="dxa" w:w="2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Instrucciones</w:t>
            </w:r>
          </w:p>
        </w:tc>
        <w:tc>
          <w:tcPr>
            <w:tcW w:type="dxa" w:w="7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Texto dirigido al adjudicador.</w:t>
            </w:r>
          </w:p>
        </w:tc>
      </w:tr>
      <w:tr>
        <w:trPr>
          <w:tblHeader w:val="false"/>
        </w:trPr>
        <w:tc>
          <w:tcPr>
            <w:tcW w:type="dxa" w:w="2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Adjudicación</w:t>
            </w:r>
          </w:p>
        </w:tc>
        <w:tc>
          <w:tcPr>
            <w:tcW w:type="dxa" w:w="7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Una fila por par: identificador, resumen de la consulta, perfil del abogado, columna de relevancia con validación a 0, 1 o 2, columna de confianza y columna de justificación.</w:t>
            </w:r>
          </w:p>
        </w:tc>
      </w:tr>
      <w:tr>
        <w:trPr>
          <w:tblHeader w:val="false"/>
        </w:trPr>
        <w:tc>
          <w:tcPr>
            <w:tcW w:type="dxa" w:w="2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Registro</w:t>
            </w:r>
          </w:p>
        </w:tc>
        <w:tc>
          <w:tcPr>
            <w:tcW w:type="dxa" w:w="7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Metadatos de la sesión, completados por el investigador.</w:t>
            </w:r>
          </w:p>
        </w:tc>
      </w:tr>
    </w:tbl>
    <w:p>
      <w:pPr>
        <w:spacing w:after="120"/>
      </w:pPr>
    </w:p>
    <w:p>
      <w:pPr>
        <w:pStyle w:val="Heading1"/>
        <w:spacing w:after="160" w:before="340"/>
      </w:pPr>
      <w:r>
        <w:rPr>
          <w:rFonts w:ascii="Arial" w:cs="Arial" w:eastAsia="Arial" w:hAnsi="Arial"/>
          <w:b/>
          <w:bCs/>
          <w:color w:val="1F3864"/>
          <w:sz w:val="27"/>
          <w:szCs w:val="27"/>
        </w:rPr>
        <w:t xml:space="preserve">6. Modalidad de adjudicación</w:t>
      </w:r>
    </w:p>
    <w:p>
      <w:pPr>
        <w:spacing w:after="150" w:before="100" w:line="276"/>
        <w:jc w:val="both"/>
      </w:pPr>
      <w:r>
        <w:rPr>
          <w:rFonts w:ascii="Arial" w:cs="Arial" w:eastAsia="Arial" w:hAnsi="Arial"/>
          <w:b w:val="false"/>
          <w:bCs w:val="false"/>
          <w:i w:val="false"/>
          <w:iCs w:val="false"/>
          <w:sz w:val="22"/>
          <w:szCs w:val="22"/>
        </w:rPr>
        <w:t xml:space="preserve">La adjudicación se realiza de forma asíncrona: el adjudicador completa el instrumento por su cuenta, en las tandas y horarios que le resulten convenientes. Esta decisión responde a la disponibilidad real del adjudicador y se adopta de forma deliberada, no como concesión improvisada.</w:t>
      </w:r>
    </w:p>
    <w:p>
      <w:pPr>
        <w:spacing w:after="150" w:before="100" w:line="276"/>
        <w:jc w:val="both"/>
      </w:pPr>
      <w:r>
        <w:rPr>
          <w:rFonts w:ascii="Arial" w:cs="Arial" w:eastAsia="Arial" w:hAnsi="Arial"/>
          <w:b w:val="false"/>
          <w:bCs w:val="false"/>
          <w:i w:val="false"/>
          <w:iCs w:val="false"/>
          <w:sz w:val="22"/>
          <w:szCs w:val="22"/>
        </w:rPr>
        <w:t xml:space="preserve">La modalidad asíncrona elimina la supervisión directa como control de independencia del juicio. Para compensarla se incorporan cinco controles alternativos, todos verificables sobre el instrumento entregado:</w:t>
      </w:r>
    </w:p>
    <w:p>
      <w:pPr>
        <w:pStyle w:val="ListParagraph"/>
        <w:numPr>
          <w:ilvl w:val="0"/>
          <w:numId w:val="4"/>
        </w:numPr>
        <w:spacing w:after="70" w:before="40" w:line="276"/>
        <w:jc w:val="both"/>
      </w:pPr>
      <w:r>
        <w:rPr>
          <w:rFonts w:ascii="Arial" w:cs="Arial" w:eastAsia="Arial" w:hAnsi="Arial"/>
          <w:b/>
          <w:bCs/>
          <w:sz w:val="22"/>
          <w:szCs w:val="22"/>
        </w:rPr>
        <w:t xml:space="preserve">Duplicados ampliados. </w:t>
      </w:r>
      <w:r>
        <w:rPr>
          <w:rFonts w:ascii="Arial" w:cs="Arial" w:eastAsia="Arial" w:hAnsi="Arial"/>
          <w:b w:val="false"/>
          <w:bCs w:val="false"/>
          <w:sz w:val="22"/>
          <w:szCs w:val="22"/>
        </w:rPr>
        <w:t xml:space="preserve">Se eleva la proporción de pares repetidos respecto de una sesión supervisada, hasta aproximadamente el 10 % del total. La consistencia intra-evaluador es el principal indicador de que los juicios provienen de un criterio estable y propio.</w:t>
      </w:r>
    </w:p>
    <w:p>
      <w:pPr>
        <w:pStyle w:val="ListParagraph"/>
        <w:numPr>
          <w:ilvl w:val="0"/>
          <w:numId w:val="4"/>
        </w:numPr>
        <w:spacing w:after="70" w:before="40" w:line="276"/>
        <w:jc w:val="both"/>
      </w:pPr>
      <w:r>
        <w:rPr>
          <w:rFonts w:ascii="Arial" w:cs="Arial" w:eastAsia="Arial" w:hAnsi="Arial"/>
          <w:b/>
          <w:bCs/>
          <w:sz w:val="22"/>
          <w:szCs w:val="22"/>
        </w:rPr>
        <w:t xml:space="preserve">Justificación ampliada. </w:t>
      </w:r>
      <w:r>
        <w:rPr>
          <w:rFonts w:ascii="Arial" w:cs="Arial" w:eastAsia="Arial" w:hAnsi="Arial"/>
          <w:b w:val="false"/>
          <w:bCs w:val="false"/>
          <w:sz w:val="22"/>
          <w:szCs w:val="22"/>
        </w:rPr>
        <w:t xml:space="preserve">Se solicita justificación escrita en cerca del 15 % de los pares, distribuidos a lo largo del instrumento. El registro escrito del razonamiento permite verificar que el juicio proviene de criterio profesional y aporta material cualitativo a la memoria.</w:t>
      </w:r>
    </w:p>
    <w:p>
      <w:pPr>
        <w:pStyle w:val="ListParagraph"/>
        <w:numPr>
          <w:ilvl w:val="0"/>
          <w:numId w:val="4"/>
        </w:numPr>
        <w:spacing w:after="70" w:before="40" w:line="276"/>
        <w:jc w:val="both"/>
      </w:pPr>
      <w:r>
        <w:rPr>
          <w:rFonts w:ascii="Arial" w:cs="Arial" w:eastAsia="Arial" w:hAnsi="Arial"/>
          <w:b/>
          <w:bCs/>
          <w:sz w:val="22"/>
          <w:szCs w:val="22"/>
        </w:rPr>
        <w:t xml:space="preserve">Registro de tandas. </w:t>
      </w:r>
      <w:r>
        <w:rPr>
          <w:rFonts w:ascii="Arial" w:cs="Arial" w:eastAsia="Arial" w:hAnsi="Arial"/>
          <w:b w:val="false"/>
          <w:bCs w:val="false"/>
          <w:sz w:val="22"/>
          <w:szCs w:val="22"/>
        </w:rPr>
        <w:t xml:space="preserve">El adjudicador anota fecha y horario de cada tanda de trabajo en la hoja de registro del instrumento.</w:t>
      </w:r>
    </w:p>
    <w:p>
      <w:pPr>
        <w:pStyle w:val="ListParagraph"/>
        <w:numPr>
          <w:ilvl w:val="0"/>
          <w:numId w:val="4"/>
        </w:numPr>
        <w:spacing w:after="70" w:before="40" w:line="276"/>
        <w:jc w:val="both"/>
      </w:pPr>
      <w:r>
        <w:rPr>
          <w:rFonts w:ascii="Arial" w:cs="Arial" w:eastAsia="Arial" w:hAnsi="Arial"/>
          <w:b/>
          <w:bCs/>
          <w:sz w:val="22"/>
          <w:szCs w:val="22"/>
        </w:rPr>
        <w:t xml:space="preserve">Declaración firmada. </w:t>
      </w:r>
      <w:r>
        <w:rPr>
          <w:rFonts w:ascii="Arial" w:cs="Arial" w:eastAsia="Arial" w:hAnsi="Arial"/>
          <w:b w:val="false"/>
          <w:bCs w:val="false"/>
          <w:sz w:val="22"/>
          <w:szCs w:val="22"/>
        </w:rPr>
        <w:t xml:space="preserve">Al término, el adjudicador suscribe una declaración de que las respuestas reflejan su criterio profesional y que no consultó buscadores, herramientas de inteligencia artificial ni terceros. La declaración forma parte del instrumento y se conserva como evidencia.</w:t>
      </w:r>
    </w:p>
    <w:p>
      <w:pPr>
        <w:pStyle w:val="ListParagraph"/>
        <w:numPr>
          <w:ilvl w:val="0"/>
          <w:numId w:val="4"/>
        </w:numPr>
        <w:spacing w:after="70" w:before="40" w:line="276"/>
        <w:jc w:val="both"/>
      </w:pPr>
      <w:r>
        <w:rPr>
          <w:rFonts w:ascii="Arial" w:cs="Arial" w:eastAsia="Arial" w:hAnsi="Arial"/>
          <w:b/>
          <w:bCs/>
          <w:sz w:val="22"/>
          <w:szCs w:val="22"/>
        </w:rPr>
        <w:t xml:space="preserve">Entrevista breve de verificación. </w:t>
      </w:r>
      <w:r>
        <w:rPr>
          <w:rFonts w:ascii="Arial" w:cs="Arial" w:eastAsia="Arial" w:hAnsi="Arial"/>
          <w:b w:val="false"/>
          <w:bCs w:val="false"/>
          <w:sz w:val="22"/>
          <w:szCs w:val="22"/>
        </w:rPr>
        <w:t xml:space="preserve">Una vez devuelto el instrumento, el investigador sostiene una conversación de aproximadamente quince minutos en la que solicita al adjudicador explicar su razonamiento en tres o cuatro juicios concretos, elegidos por el investigador. La capacidad de reconstruir el razonamiento constituye evidencia de autoría del juicio, y una reunión de quince minutos resulta factible cuando una sesión completa no lo es.</w:t>
      </w:r>
    </w:p>
    <w:p>
      <w:pPr>
        <w:spacing w:after="150" w:before="100" w:line="276"/>
        <w:jc w:val="both"/>
      </w:pPr>
      <w:r>
        <w:rPr>
          <w:rFonts w:ascii="Arial" w:cs="Arial" w:eastAsia="Arial" w:hAnsi="Arial"/>
          <w:b w:val="false"/>
          <w:bCs w:val="false"/>
          <w:i w:val="false"/>
          <w:iCs w:val="false"/>
          <w:sz w:val="22"/>
          <w:szCs w:val="22"/>
        </w:rPr>
        <w:t xml:space="preserve">Adicionalmente, el instrumento se entrega dividido en bloques de aproximadamente treinta pares, con la recomendación explícita de no completar más de dos bloques seguidos. La fatiga degrada la calidad del etiquetado.</w:t>
      </w:r>
    </w:p>
    <w:p>
      <w:pPr>
        <w:spacing w:after="150" w:before="100" w:line="276"/>
        <w:jc w:val="both"/>
      </w:pPr>
      <w:r>
        <w:rPr>
          <w:rFonts w:ascii="Arial" w:cs="Arial" w:eastAsia="Arial" w:hAnsi="Arial"/>
          <w:b w:val="false"/>
          <w:bCs w:val="false"/>
          <w:i w:val="false"/>
          <w:iCs w:val="false"/>
          <w:sz w:val="22"/>
          <w:szCs w:val="22"/>
        </w:rPr>
        <w:t xml:space="preserve">El investigador no proporciona retroalimentación sobre las respuestas mientras la adjudicación esté en curso, ni indica si un juicio coincide con la salida del sistema.</w:t>
      </w:r>
    </w:p>
    <w:p>
      <w:pPr>
        <w:spacing w:after="150" w:before="100" w:line="276"/>
        <w:jc w:val="both"/>
      </w:pPr>
      <w:r>
        <w:rPr>
          <w:rFonts w:ascii="Arial" w:cs="Arial" w:eastAsia="Arial" w:hAnsi="Arial"/>
          <w:b w:val="false"/>
          <w:bCs w:val="false"/>
          <w:i w:val="false"/>
          <w:iCs w:val="false"/>
          <w:sz w:val="22"/>
          <w:szCs w:val="22"/>
        </w:rPr>
        <w:t xml:space="preserve">Si el adjudicador secundario participa, adjudica el mismo conjunto de forma independiente, sin acceso a los juicios del adjudicador principal ni a sus justificaciones.</w:t>
      </w:r>
    </w:p>
    <w:p>
      <w:pPr>
        <w:pStyle w:val="Heading2"/>
        <w:spacing w:after="130" w:before="260"/>
      </w:pPr>
      <w:r>
        <w:rPr>
          <w:rFonts w:ascii="Arial" w:cs="Arial" w:eastAsia="Arial" w:hAnsi="Arial"/>
          <w:b/>
          <w:bCs/>
          <w:color w:val="1F3864"/>
          <w:sz w:val="23"/>
          <w:szCs w:val="23"/>
        </w:rPr>
        <w:t xml:space="preserve">6.1 Fase piloto</w:t>
      </w:r>
    </w:p>
    <w:p>
      <w:pPr>
        <w:spacing w:after="150" w:before="100" w:line="276"/>
        <w:jc w:val="both"/>
      </w:pPr>
      <w:r>
        <w:rPr>
          <w:rFonts w:ascii="Arial" w:cs="Arial" w:eastAsia="Arial" w:hAnsi="Arial"/>
          <w:b w:val="false"/>
          <w:bCs w:val="false"/>
          <w:i w:val="false"/>
          <w:iCs w:val="false"/>
          <w:sz w:val="22"/>
          <w:szCs w:val="22"/>
        </w:rPr>
        <w:t xml:space="preserve">Antes de construir el instrumento definitivo se aplica un piloto de entre veinte y veinticinco pares con el adjudicador principal. Su finalidad no es producir juicios utilizables, sino verificar que la redacción de las consultas resulta comprensible, que la rúbrica de la sección 4 es aplicable sin ambigüedad y que el formato del instrumento no induce error.</w:t>
      </w:r>
    </w:p>
    <w:p>
      <w:pPr>
        <w:spacing w:after="150" w:before="100" w:line="276"/>
        <w:jc w:val="both"/>
      </w:pPr>
      <w:r>
        <w:rPr>
          <w:rFonts w:ascii="Arial" w:cs="Arial" w:eastAsia="Arial" w:hAnsi="Arial"/>
          <w:b w:val="false"/>
          <w:bCs w:val="false"/>
          <w:i w:val="false"/>
          <w:iCs w:val="false"/>
          <w:sz w:val="22"/>
          <w:szCs w:val="22"/>
        </w:rPr>
        <w:t xml:space="preserve">Los comentarios del adjudicador sobre el piloto pueden motivar ajustes de redacción del instrumento y de las instrucciones. No pueden motivar cambios en la rúbrica de la sección 4 una vez iniciada la adjudicación definitiva. Los juicios emitidos durante el piloto se descartan y no forman parte del análisis.</w:t>
      </w:r>
    </w:p>
    <w:p>
      <w:pPr>
        <w:pStyle w:val="Heading1"/>
        <w:spacing w:after="160" w:before="340"/>
      </w:pPr>
      <w:r>
        <w:rPr>
          <w:rFonts w:ascii="Arial" w:cs="Arial" w:eastAsia="Arial" w:hAnsi="Arial"/>
          <w:b/>
          <w:bCs/>
          <w:color w:val="1F3864"/>
          <w:sz w:val="27"/>
          <w:szCs w:val="27"/>
        </w:rPr>
        <w:t xml:space="preserve">7. Plan de análisis</w:t>
      </w:r>
    </w:p>
    <w:p>
      <w:pPr>
        <w:pStyle w:val="Heading2"/>
        <w:spacing w:after="130" w:before="260"/>
      </w:pPr>
      <w:r>
        <w:rPr>
          <w:rFonts w:ascii="Arial" w:cs="Arial" w:eastAsia="Arial" w:hAnsi="Arial"/>
          <w:b/>
          <w:bCs/>
          <w:color w:val="1F3864"/>
          <w:sz w:val="23"/>
          <w:szCs w:val="23"/>
        </w:rPr>
        <w:t xml:space="preserve">7.1 Calidad de la adjudicación</w:t>
      </w:r>
    </w:p>
    <w:p>
      <w:pPr>
        <w:pStyle w:val="ListParagraph"/>
        <w:numPr>
          <w:ilvl w:val="0"/>
          <w:numId w:val="1"/>
        </w:numPr>
        <w:spacing w:after="70" w:before="40" w:line="276"/>
        <w:jc w:val="both"/>
      </w:pPr>
      <w:r>
        <w:rPr>
          <w:rFonts w:ascii="Arial" w:cs="Arial" w:eastAsia="Arial" w:hAnsi="Arial"/>
          <w:b w:val="false"/>
          <w:bCs w:val="false"/>
          <w:sz w:val="22"/>
          <w:szCs w:val="22"/>
        </w:rPr>
        <w:t xml:space="preserve">Concordancia intra-evaluador sobre los duplicados: porcentaje de acuerdo exacto y coeficiente kappa.</w:t>
      </w:r>
    </w:p>
    <w:p>
      <w:pPr>
        <w:pStyle w:val="ListParagraph"/>
        <w:numPr>
          <w:ilvl w:val="0"/>
          <w:numId w:val="1"/>
        </w:numPr>
        <w:spacing w:after="70" w:before="40" w:line="276"/>
        <w:jc w:val="both"/>
      </w:pPr>
      <w:r>
        <w:rPr>
          <w:rFonts w:ascii="Arial" w:cs="Arial" w:eastAsia="Arial" w:hAnsi="Arial"/>
          <w:b w:val="false"/>
          <w:bCs w:val="false"/>
          <w:sz w:val="22"/>
          <w:szCs w:val="22"/>
        </w:rPr>
        <w:t xml:space="preserve">Con dos adjudicadores: kappa de Cohen ponderado.</w:t>
      </w:r>
    </w:p>
    <w:p>
      <w:pPr>
        <w:pStyle w:val="ListParagraph"/>
        <w:numPr>
          <w:ilvl w:val="0"/>
          <w:numId w:val="1"/>
        </w:numPr>
        <w:spacing w:after="70" w:before="40" w:line="276"/>
        <w:jc w:val="both"/>
      </w:pPr>
      <w:r>
        <w:rPr>
          <w:rFonts w:ascii="Arial" w:cs="Arial" w:eastAsia="Arial" w:hAnsi="Arial"/>
          <w:b w:val="false"/>
          <w:bCs w:val="false"/>
          <w:sz w:val="22"/>
          <w:szCs w:val="22"/>
        </w:rPr>
        <w:t xml:space="preserve">Distribución de la confianza autorreportada y análisis segmentado por nivel de confianza.</w:t>
      </w:r>
    </w:p>
    <w:p>
      <w:pPr>
        <w:pStyle w:val="Heading2"/>
        <w:spacing w:after="130" w:before="260"/>
      </w:pPr>
      <w:r>
        <w:rPr>
          <w:rFonts w:ascii="Arial" w:cs="Arial" w:eastAsia="Arial" w:hAnsi="Arial"/>
          <w:b/>
          <w:bCs/>
          <w:color w:val="1F3864"/>
          <w:sz w:val="23"/>
          <w:szCs w:val="23"/>
        </w:rPr>
        <w:t xml:space="preserve">7.2 Evaluación del sistema</w:t>
      </w:r>
    </w:p>
    <w:p>
      <w:pPr>
        <w:pStyle w:val="ListParagraph"/>
        <w:numPr>
          <w:ilvl w:val="0"/>
          <w:numId w:val="1"/>
        </w:numPr>
        <w:spacing w:after="70" w:before="40" w:line="276"/>
        <w:jc w:val="both"/>
      </w:pPr>
      <w:r>
        <w:rPr>
          <w:rFonts w:ascii="Arial" w:cs="Arial" w:eastAsia="Arial" w:hAnsi="Arial"/>
          <w:b w:val="false"/>
          <w:bCs w:val="false"/>
          <w:sz w:val="22"/>
          <w:szCs w:val="22"/>
        </w:rPr>
        <w:t xml:space="preserve">Precision@3 como métrica principal, correspondiente al indicador OE4-I2.</w:t>
      </w:r>
    </w:p>
    <w:p>
      <w:pPr>
        <w:pStyle w:val="ListParagraph"/>
        <w:numPr>
          <w:ilvl w:val="0"/>
          <w:numId w:val="1"/>
        </w:numPr>
        <w:spacing w:after="70" w:before="40" w:line="276"/>
        <w:jc w:val="both"/>
      </w:pPr>
      <w:r>
        <w:rPr>
          <w:rFonts w:ascii="Arial" w:cs="Arial" w:eastAsia="Arial" w:hAnsi="Arial"/>
          <w:b w:val="false"/>
          <w:bCs w:val="false"/>
          <w:sz w:val="22"/>
          <w:szCs w:val="22"/>
        </w:rPr>
        <w:t xml:space="preserve">MRR, nDCG@3, nDCG@5, MAP y Recall@5 como métricas complementarias.</w:t>
      </w:r>
    </w:p>
    <w:p>
      <w:pPr>
        <w:pStyle w:val="ListParagraph"/>
        <w:numPr>
          <w:ilvl w:val="0"/>
          <w:numId w:val="1"/>
        </w:numPr>
        <w:spacing w:after="70" w:before="40" w:line="276"/>
        <w:jc w:val="both"/>
      </w:pPr>
      <w:r>
        <w:rPr>
          <w:rFonts w:ascii="Arial" w:cs="Arial" w:eastAsia="Arial" w:hAnsi="Arial"/>
          <w:b w:val="false"/>
          <w:bCs w:val="false"/>
          <w:sz w:val="22"/>
          <w:szCs w:val="22"/>
        </w:rPr>
        <w:t xml:space="preserve">Intervalos de confianza al 95 % mediante bootstrap con diez mil remuestreos sobre consultas.</w:t>
      </w:r>
    </w:p>
    <w:p>
      <w:pPr>
        <w:pStyle w:val="ListParagraph"/>
        <w:numPr>
          <w:ilvl w:val="0"/>
          <w:numId w:val="1"/>
        </w:numPr>
        <w:spacing w:after="70" w:before="40" w:line="276"/>
        <w:jc w:val="both"/>
      </w:pPr>
      <w:r>
        <w:rPr>
          <w:rFonts w:ascii="Arial" w:cs="Arial" w:eastAsia="Arial" w:hAnsi="Arial"/>
          <w:b w:val="false"/>
          <w:bCs w:val="false"/>
          <w:sz w:val="22"/>
          <w:szCs w:val="22"/>
        </w:rPr>
        <w:t xml:space="preserve">Prueba de permutación pareada entre variantes del sistema.</w:t>
      </w:r>
    </w:p>
    <w:p>
      <w:pPr>
        <w:spacing w:after="150" w:before="100" w:line="276"/>
        <w:jc w:val="both"/>
      </w:pPr>
      <w:r>
        <w:rPr>
          <w:rFonts w:ascii="Arial" w:cs="Arial" w:eastAsia="Arial" w:hAnsi="Arial"/>
          <w:b w:val="false"/>
          <w:bCs w:val="false"/>
          <w:i w:val="false"/>
          <w:iCs w:val="false"/>
          <w:sz w:val="22"/>
          <w:szCs w:val="22"/>
        </w:rPr>
        <w:t xml:space="preserve">Para las métricas binarias, un juicio de valor 2 cuenta como relevante. El tratamiento de los juicios de valor 1 se reporta en ambos sentidos, como relevante y como no relevante, sin elegir a posteriori el que favorezca el resultado.</w:t>
      </w:r>
    </w:p>
    <w:p>
      <w:pPr>
        <w:pStyle w:val="Heading2"/>
        <w:spacing w:after="130" w:before="260"/>
      </w:pPr>
      <w:r>
        <w:rPr>
          <w:rFonts w:ascii="Arial" w:cs="Arial" w:eastAsia="Arial" w:hAnsi="Arial"/>
          <w:b/>
          <w:bCs/>
          <w:color w:val="1F3864"/>
          <w:sz w:val="23"/>
          <w:szCs w:val="23"/>
        </w:rPr>
        <w:t xml:space="preserve">7.3 Regla de honestidad</w:t>
      </w:r>
    </w:p>
    <w:p>
      <w:pPr>
        <w:pBdr>
          <w:left w:val="single" w:color="BF8F00" w:sz="18" w:space="10"/>
        </w:pBdr>
        <w:shd w:fill="FFF2CC" w:color="auto" w:val="clear"/>
        <w:spacing w:after="200" w:before="160" w:line="276"/>
        <w:ind w:left="180" w:right="120"/>
        <w:jc w:val="both"/>
      </w:pPr>
      <w:r>
        <w:rPr>
          <w:rFonts w:ascii="Arial" w:cs="Arial" w:eastAsia="Arial" w:hAnsi="Arial"/>
          <w:sz w:val="21"/>
          <w:szCs w:val="21"/>
        </w:rPr>
        <w:t xml:space="preserve">El resultado se reporta como salga. Si Precision@3 queda por debajo de 0.70, se reporta y se analizan las causas: eso constituye un hallazgo de la investigación, no un fracaso. No se ajustan pesos, criterios ni consultas después de conocer el resultado.</w:t>
      </w:r>
    </w:p>
    <w:p>
      <w:pPr>
        <w:pStyle w:val="Heading1"/>
        <w:spacing w:after="160" w:before="340"/>
      </w:pPr>
      <w:r>
        <w:rPr>
          <w:rFonts w:ascii="Arial" w:cs="Arial" w:eastAsia="Arial" w:hAnsi="Arial"/>
          <w:b/>
          <w:bCs/>
          <w:color w:val="1F3864"/>
          <w:sz w:val="27"/>
          <w:szCs w:val="27"/>
        </w:rPr>
        <w:t xml:space="preserve">8. Elementos inmodificables</w:t>
      </w:r>
    </w:p>
    <w:p>
      <w:pPr>
        <w:spacing w:after="150" w:before="100" w:line="276"/>
        <w:jc w:val="both"/>
      </w:pPr>
      <w:r>
        <w:rPr>
          <w:rFonts w:ascii="Arial" w:cs="Arial" w:eastAsia="Arial" w:hAnsi="Arial"/>
          <w:b w:val="false"/>
          <w:bCs w:val="false"/>
          <w:i w:val="false"/>
          <w:iCs w:val="false"/>
          <w:sz w:val="22"/>
          <w:szCs w:val="22"/>
        </w:rPr>
        <w:t xml:space="preserve">Una vez iniciada la adjudicación no pueden modificarse:</w:t>
      </w:r>
    </w:p>
    <w:p>
      <w:pPr>
        <w:pStyle w:val="ListParagraph"/>
        <w:numPr>
          <w:ilvl w:val="0"/>
          <w:numId w:val="1"/>
        </w:numPr>
        <w:spacing w:after="70" w:before="40" w:line="276"/>
        <w:jc w:val="both"/>
      </w:pPr>
      <w:r>
        <w:rPr>
          <w:rFonts w:ascii="Arial" w:cs="Arial" w:eastAsia="Arial" w:hAnsi="Arial"/>
          <w:b w:val="false"/>
          <w:bCs w:val="false"/>
          <w:sz w:val="22"/>
          <w:szCs w:val="22"/>
        </w:rPr>
        <w:t xml:space="preserve">La rúbrica de la sección 4.</w:t>
      </w:r>
    </w:p>
    <w:p>
      <w:pPr>
        <w:pStyle w:val="ListParagraph"/>
        <w:numPr>
          <w:ilvl w:val="0"/>
          <w:numId w:val="1"/>
        </w:numPr>
        <w:spacing w:after="70" w:before="40" w:line="276"/>
        <w:jc w:val="both"/>
      </w:pPr>
      <w:r>
        <w:rPr>
          <w:rFonts w:ascii="Arial" w:cs="Arial" w:eastAsia="Arial" w:hAnsi="Arial"/>
          <w:b w:val="false"/>
          <w:bCs w:val="false"/>
          <w:sz w:val="22"/>
          <w:szCs w:val="22"/>
        </w:rPr>
        <w:t xml:space="preserve">El conjunto de consultas y el corpus de perfiles de abogados.</w:t>
      </w:r>
    </w:p>
    <w:p>
      <w:pPr>
        <w:pStyle w:val="ListParagraph"/>
        <w:numPr>
          <w:ilvl w:val="0"/>
          <w:numId w:val="1"/>
        </w:numPr>
        <w:spacing w:after="70" w:before="40" w:line="276"/>
        <w:jc w:val="both"/>
      </w:pPr>
      <w:r>
        <w:rPr>
          <w:rFonts w:ascii="Arial" w:cs="Arial" w:eastAsia="Arial" w:hAnsi="Arial"/>
          <w:b w:val="false"/>
          <w:bCs w:val="false"/>
          <w:sz w:val="22"/>
          <w:szCs w:val="22"/>
        </w:rPr>
        <w:t xml:space="preserve">El plan de análisis de la sección 7.</w:t>
      </w:r>
    </w:p>
    <w:p>
      <w:pPr>
        <w:pStyle w:val="ListParagraph"/>
        <w:numPr>
          <w:ilvl w:val="0"/>
          <w:numId w:val="1"/>
        </w:numPr>
        <w:spacing w:after="70" w:before="40" w:line="276"/>
        <w:jc w:val="both"/>
      </w:pPr>
      <w:r>
        <w:rPr>
          <w:rFonts w:ascii="Arial" w:cs="Arial" w:eastAsia="Arial" w:hAnsi="Arial"/>
          <w:b w:val="false"/>
          <w:bCs w:val="false"/>
          <w:sz w:val="22"/>
          <w:szCs w:val="22"/>
        </w:rPr>
        <w:t xml:space="preserve">El umbral comprometido de 0.70.</w:t>
      </w:r>
    </w:p>
    <w:p>
      <w:pPr>
        <w:pStyle w:val="Heading1"/>
        <w:spacing w:after="160" w:before="340"/>
      </w:pPr>
      <w:r>
        <w:rPr>
          <w:rFonts w:ascii="Arial" w:cs="Arial" w:eastAsia="Arial" w:hAnsi="Arial"/>
          <w:b/>
          <w:bCs/>
          <w:color w:val="1F3864"/>
          <w:sz w:val="27"/>
          <w:szCs w:val="27"/>
        </w:rPr>
        <w:t xml:space="preserve">9. Limitaciones declaradas</w:t>
      </w:r>
    </w:p>
    <w:p>
      <w:pPr>
        <w:pStyle w:val="ListParagraph"/>
        <w:numPr>
          <w:ilvl w:val="0"/>
          <w:numId w:val="5"/>
        </w:numPr>
        <w:spacing w:after="70" w:before="40" w:line="276"/>
        <w:jc w:val="both"/>
      </w:pPr>
      <w:r>
        <w:rPr>
          <w:rFonts w:ascii="Arial" w:cs="Arial" w:eastAsia="Arial" w:hAnsi="Arial"/>
          <w:b/>
          <w:bCs/>
          <w:sz w:val="22"/>
          <w:szCs w:val="22"/>
        </w:rPr>
        <w:t xml:space="preserve">Conflicto de interés. </w:t>
      </w:r>
      <w:r>
        <w:rPr>
          <w:rFonts w:ascii="Arial" w:cs="Arial" w:eastAsia="Arial" w:hAnsi="Arial"/>
          <w:b w:val="false"/>
          <w:bCs w:val="false"/>
          <w:sz w:val="22"/>
          <w:szCs w:val="22"/>
        </w:rPr>
        <w:t xml:space="preserve">El adjudicador principal es familiar del autor. Mitigado conforme a la sección 3.1.</w:t>
      </w:r>
    </w:p>
    <w:p>
      <w:pPr>
        <w:pStyle w:val="ListParagraph"/>
        <w:numPr>
          <w:ilvl w:val="0"/>
          <w:numId w:val="5"/>
        </w:numPr>
        <w:spacing w:after="70" w:before="40" w:line="276"/>
        <w:jc w:val="both"/>
      </w:pPr>
      <w:r>
        <w:rPr>
          <w:rFonts w:ascii="Arial" w:cs="Arial" w:eastAsia="Arial" w:hAnsi="Arial"/>
          <w:b/>
          <w:bCs/>
          <w:sz w:val="22"/>
          <w:szCs w:val="22"/>
        </w:rPr>
        <w:t xml:space="preserve">Cobertura de especialidad. </w:t>
      </w:r>
      <w:r>
        <w:rPr>
          <w:rFonts w:ascii="Arial" w:cs="Arial" w:eastAsia="Arial" w:hAnsi="Arial"/>
          <w:b w:val="false"/>
          <w:bCs w:val="false"/>
          <w:sz w:val="22"/>
          <w:szCs w:val="22"/>
        </w:rPr>
        <w:t xml:space="preserve">La experiencia pericial del adjudicador principal es más sólida en anestesiología, especialidades quirúrgicas y cuidados críticos que en otras áreas. Se mitiga con la escala de confianza y el análisis segmentado.</w:t>
      </w:r>
    </w:p>
    <w:p>
      <w:pPr>
        <w:pStyle w:val="ListParagraph"/>
        <w:numPr>
          <w:ilvl w:val="0"/>
          <w:numId w:val="5"/>
        </w:numPr>
        <w:spacing w:after="70" w:before="40" w:line="276"/>
        <w:jc w:val="both"/>
      </w:pPr>
      <w:r>
        <w:rPr>
          <w:rFonts w:ascii="Arial" w:cs="Arial" w:eastAsia="Arial" w:hAnsi="Arial"/>
          <w:b/>
          <w:bCs/>
          <w:sz w:val="22"/>
          <w:szCs w:val="22"/>
        </w:rPr>
        <w:t xml:space="preserve">Corpus sintético. </w:t>
      </w:r>
      <w:r>
        <w:rPr>
          <w:rFonts w:ascii="Arial" w:cs="Arial" w:eastAsia="Arial" w:hAnsi="Arial"/>
          <w:b w:val="false"/>
          <w:bCs w:val="false"/>
          <w:sz w:val="22"/>
          <w:szCs w:val="22"/>
        </w:rPr>
        <w:t xml:space="preserve">Los perfiles de abogados son construidos, no reales. Lo que se valida es la capacidad de ordenamiento dentro de un espacio de búsqueda dado, no la existencia de los profesionales.</w:t>
      </w:r>
    </w:p>
    <w:p>
      <w:pPr>
        <w:pStyle w:val="ListParagraph"/>
        <w:numPr>
          <w:ilvl w:val="0"/>
          <w:numId w:val="5"/>
        </w:numPr>
        <w:spacing w:after="70" w:before="40" w:line="276"/>
        <w:jc w:val="both"/>
      </w:pPr>
      <w:r>
        <w:rPr>
          <w:rFonts w:ascii="Arial" w:cs="Arial" w:eastAsia="Arial" w:hAnsi="Arial"/>
          <w:b/>
          <w:bCs/>
          <w:sz w:val="22"/>
          <w:szCs w:val="22"/>
        </w:rPr>
        <w:t xml:space="preserve">Tamaño de la colección. </w:t>
      </w:r>
      <w:r>
        <w:rPr>
          <w:rFonts w:ascii="Arial" w:cs="Arial" w:eastAsia="Arial" w:hAnsi="Arial"/>
          <w:b w:val="false"/>
          <w:bCs w:val="false"/>
          <w:sz w:val="22"/>
          <w:szCs w:val="22"/>
        </w:rPr>
        <w:t xml:space="preserve">Entre 20 y 25 consultas resulta adecuado para una tesis, pero es pequeño frente a los estándares de evaluación en recuperación de información. De ahí el uso obligatorio de intervalos de confianza.</w:t>
      </w:r>
    </w:p>
    <w:p>
      <w:pPr>
        <w:pStyle w:val="ListParagraph"/>
        <w:numPr>
          <w:ilvl w:val="0"/>
          <w:numId w:val="5"/>
        </w:numPr>
        <w:spacing w:after="70" w:before="40" w:line="276"/>
        <w:jc w:val="both"/>
      </w:pPr>
      <w:r>
        <w:rPr>
          <w:rFonts w:ascii="Arial" w:cs="Arial" w:eastAsia="Arial" w:hAnsi="Arial"/>
          <w:b/>
          <w:bCs/>
          <w:sz w:val="22"/>
          <w:szCs w:val="22"/>
        </w:rPr>
        <w:t xml:space="preserve">Adjudicador único. </w:t>
      </w:r>
      <w:r>
        <w:rPr>
          <w:rFonts w:ascii="Arial" w:cs="Arial" w:eastAsia="Arial" w:hAnsi="Arial"/>
          <w:b w:val="false"/>
          <w:bCs w:val="false"/>
          <w:sz w:val="22"/>
          <w:szCs w:val="22"/>
        </w:rPr>
        <w:t xml:space="preserve">De no conseguirse el adjudicador secundario, no es posible calcular concordancia entre evaluadores; se reportaría únicamente consistencia intra-evaluador.</w:t>
      </w:r>
    </w:p>
    <w:p>
      <w:pPr>
        <w:pStyle w:val="ListParagraph"/>
        <w:numPr>
          <w:ilvl w:val="0"/>
          <w:numId w:val="5"/>
        </w:numPr>
        <w:spacing w:after="70" w:before="40" w:line="276"/>
        <w:jc w:val="both"/>
      </w:pPr>
      <w:r>
        <w:rPr>
          <w:rFonts w:ascii="Arial" w:cs="Arial" w:eastAsia="Arial" w:hAnsi="Arial"/>
          <w:b/>
          <w:bCs/>
          <w:sz w:val="22"/>
          <w:szCs w:val="22"/>
        </w:rPr>
        <w:t xml:space="preserve">Modalidad asíncrona. </w:t>
      </w:r>
      <w:r>
        <w:rPr>
          <w:rFonts w:ascii="Arial" w:cs="Arial" w:eastAsia="Arial" w:hAnsi="Arial"/>
          <w:b w:val="false"/>
          <w:bCs w:val="false"/>
          <w:sz w:val="22"/>
          <w:szCs w:val="22"/>
        </w:rPr>
        <w:t xml:space="preserve">La adjudicación no se realiza bajo supervisión directa, lo que impide observar el proceso de decisión. Se compensa con los cinco controles de la sección 6, pero la limitación se declara de forma expresa.</w:t>
      </w:r>
    </w:p>
    <w:p>
      <w:pPr>
        <w:pStyle w:val="Heading1"/>
        <w:spacing w:after="160" w:before="340"/>
      </w:pPr>
      <w:r>
        <w:rPr>
          <w:rFonts w:ascii="Arial" w:cs="Arial" w:eastAsia="Arial" w:hAnsi="Arial"/>
          <w:b/>
          <w:bCs/>
          <w:color w:val="1F3864"/>
          <w:sz w:val="27"/>
          <w:szCs w:val="27"/>
        </w:rPr>
        <w:t xml:space="preserve">10. Acta de adjudicación</w:t>
      </w:r>
    </w:p>
    <w:p>
      <w:pPr>
        <w:spacing w:after="150" w:before="100" w:line="276"/>
        <w:jc w:val="both"/>
      </w:pPr>
      <w:r>
        <w:rPr>
          <w:rFonts w:ascii="Arial" w:cs="Arial" w:eastAsia="Arial" w:hAnsi="Arial"/>
          <w:b w:val="false"/>
          <w:bCs w:val="false"/>
          <w:i w:val="false"/>
          <w:iCs w:val="false"/>
          <w:sz w:val="22"/>
          <w:szCs w:val="22"/>
        </w:rPr>
        <w:t xml:space="preserve">A completar por el investigador al término de la adjudicación, a partir de la hoja de registro del instrumento y de la entrevista de verificación.</w:t>
      </w:r>
    </w:p>
    <w:tbl>
      <w:tblPr>
        <w:tblW w:type="dxa" w:w="9000"/>
        <w:tblBorders>
          <w:top w:val="single" w:color="AAAAAA" w:sz="6"/>
          <w:left w:val="single" w:color="AAAAAA" w:sz="6"/>
          <w:bottom w:val="single" w:color="AAAAAA" w:sz="6"/>
          <w:right w:val="single" w:color="AAAAAA" w:sz="6"/>
          <w:insideH w:val="single" w:color="AAAAAA" w:sz="6"/>
          <w:insideV w:val="single" w:color="AAAAAA" w:sz="6"/>
        </w:tblBorders>
      </w:tblPr>
      <w:tblGrid>
        <w:gridCol w:w="3400"/>
        <w:gridCol w:w="5600"/>
      </w:tblGrid>
      <w:tr>
        <w:trPr>
          <w:tblHeader/>
        </w:trPr>
        <w:tc>
          <w:tcPr>
            <w:tcW w:type="dxa" w:w="34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Campo</w:t>
            </w:r>
          </w:p>
        </w:tc>
        <w:tc>
          <w:tcPr>
            <w:tcW w:type="dxa" w:w="56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Registro</w:t>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Fechas de las tandas</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Modalidad (asíncrona / supervisada)</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Adjudicador (rol y credencial)</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Tiempo total registrado</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Fecha de la entrevista de verificación</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Juicios revisados en la entrevista</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Pares adjudicados</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Incidencias</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Declaración firmada recibida (sí/no)</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r>
        <w:trPr>
          <w:tblHeader w:val="false"/>
        </w:trPr>
        <w:tc>
          <w:tcPr>
            <w:tcW w:type="dxa" w:w="34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Firma del investigador</w:t>
            </w:r>
          </w:p>
        </w:tc>
        <w:tc>
          <w:tcPr>
            <w:tcW w:type="dxa" w:w="56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
            </w:r>
          </w:p>
        </w:tc>
      </w:tr>
    </w:tbl>
    <w:p>
      <w:pPr>
        <w:spacing w:after="120"/>
      </w:pPr>
    </w:p>
    <w:p>
      <w:pPr>
        <w:pStyle w:val="Heading1"/>
        <w:spacing w:after="160" w:before="340"/>
      </w:pPr>
      <w:r>
        <w:rPr>
          <w:rFonts w:ascii="Arial" w:cs="Arial" w:eastAsia="Arial" w:hAnsi="Arial"/>
          <w:b/>
          <w:bCs/>
          <w:color w:val="1F3864"/>
          <w:sz w:val="27"/>
          <w:szCs w:val="27"/>
        </w:rPr>
        <w:t xml:space="preserve">11. Registro de desviaciones</w:t>
      </w:r>
    </w:p>
    <w:p>
      <w:pPr>
        <w:spacing w:after="150" w:before="100" w:line="276"/>
        <w:jc w:val="both"/>
      </w:pPr>
      <w:r>
        <w:rPr>
          <w:rFonts w:ascii="Arial" w:cs="Arial" w:eastAsia="Arial" w:hAnsi="Arial"/>
          <w:b w:val="false"/>
          <w:bCs w:val="false"/>
          <w:i w:val="false"/>
          <w:iCs w:val="false"/>
          <w:sz w:val="22"/>
          <w:szCs w:val="22"/>
        </w:rPr>
        <w:t xml:space="preserve">Toda desviación respecto del presente protocolo se anota en esta tabla, con fecha y motivo, sin modificar las secciones anteriores.</w:t>
      </w:r>
    </w:p>
    <w:tbl>
      <w:tblPr>
        <w:tblW w:type="dxa" w:w="9000"/>
        <w:tblBorders>
          <w:top w:val="single" w:color="AAAAAA" w:sz="6"/>
          <w:left w:val="single" w:color="AAAAAA" w:sz="6"/>
          <w:bottom w:val="single" w:color="AAAAAA" w:sz="6"/>
          <w:right w:val="single" w:color="AAAAAA" w:sz="6"/>
          <w:insideH w:val="single" w:color="AAAAAA" w:sz="6"/>
          <w:insideV w:val="single" w:color="AAAAAA" w:sz="6"/>
        </w:tblBorders>
      </w:tblPr>
      <w:tblGrid>
        <w:gridCol w:w="1450"/>
        <w:gridCol w:w="1000"/>
        <w:gridCol w:w="3050"/>
        <w:gridCol w:w="3500"/>
      </w:tblGrid>
      <w:tr>
        <w:trPr>
          <w:tblHeader/>
        </w:trPr>
        <w:tc>
          <w:tcPr>
            <w:tcW w:type="dxa" w:w="145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Fecha</w:t>
            </w:r>
          </w:p>
        </w:tc>
        <w:tc>
          <w:tcPr>
            <w:tcW w:type="dxa" w:w="10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Sección</w:t>
            </w:r>
          </w:p>
        </w:tc>
        <w:tc>
          <w:tcPr>
            <w:tcW w:type="dxa" w:w="305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Desviación</w:t>
            </w:r>
          </w:p>
        </w:tc>
        <w:tc>
          <w:tcPr>
            <w:tcW w:type="dxa" w:w="3500"/>
            <w:shd w:fill="D9E2F3" w:color="auto" w:val="clear"/>
            <w:tcMar>
              <w:top w:type="dxa" w:w="80"/>
              <w:left w:type="dxa" w:w="110"/>
              <w:bottom w:type="dxa" w:w="80"/>
              <w:right w:type="dxa" w:w="110"/>
            </w:tcMar>
          </w:tcPr>
          <w:p>
            <w:pPr>
              <w:spacing w:after="0" w:before="0" w:line="260"/>
              <w:jc w:val="left"/>
            </w:pPr>
            <w:r>
              <w:rPr>
                <w:rFonts w:ascii="Arial" w:cs="Arial" w:eastAsia="Arial" w:hAnsi="Arial"/>
                <w:b/>
                <w:bCs/>
                <w:sz w:val="20"/>
                <w:szCs w:val="20"/>
              </w:rPr>
              <w:t xml:space="preserve">Motivo</w:t>
            </w:r>
          </w:p>
        </w:tc>
      </w:tr>
      <w:tr>
        <w:trPr>
          <w:tblHeader w:val="false"/>
        </w:trPr>
        <w:tc>
          <w:tcPr>
            <w:tcW w:type="dxa" w:w="145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27/08/2026</w:t>
            </w:r>
          </w:p>
        </w:tc>
        <w:tc>
          <w:tcPr>
            <w:tcW w:type="dxa" w:w="1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5.1</w:t>
            </w:r>
          </w:p>
        </w:tc>
        <w:tc>
          <w:tcPr>
            <w:tcW w:type="dxa" w:w="305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La profundidad del pool baja de los diez primeros resultados por variante a los tres primeros.</w:t>
            </w:r>
          </w:p>
        </w:tc>
        <w:tc>
          <w:tcPr>
            <w:tcW w:type="dxa" w:w="3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Medidos seis escenarios sobre el corpus real de 45 perfiles: la profundidad diez produce 570 pares, más del doble del tope de 250 que el propio protocolo estima. Solo la profundidad tres, excluyendo la variante aleatoria, se ajusta al tope (187 únicos, 206 con duplicados).</w:t>
            </w:r>
          </w:p>
        </w:tc>
      </w:tr>
      <w:tr>
        <w:trPr>
          <w:tblHeader w:val="false"/>
        </w:trPr>
        <w:tc>
          <w:tcPr>
            <w:tcW w:type="dxa" w:w="145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27/08/2026</w:t>
            </w:r>
          </w:p>
        </w:tc>
        <w:tc>
          <w:tcPr>
            <w:tcW w:type="dxa" w:w="1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5.1</w:t>
            </w:r>
          </w:p>
        </w:tc>
        <w:tc>
          <w:tcPr>
            <w:tcW w:type="dxa" w:w="305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El número de consultas se fija en veinte, en lugar del rango de veinte a veinticinco.</w:t>
            </w:r>
          </w:p>
        </w:tc>
        <w:tc>
          <w:tcPr>
            <w:tcW w:type="dxa" w:w="3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Acotar el volumen del instrumento a la disponibilidad real del adjudicador, que constituye la restricción crítica del proyecto.</w:t>
            </w:r>
          </w:p>
        </w:tc>
      </w:tr>
      <w:tr>
        <w:trPr>
          <w:tblHeader w:val="false"/>
        </w:trPr>
        <w:tc>
          <w:tcPr>
            <w:tcW w:type="dxa" w:w="145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27/08/2026</w:t>
            </w:r>
          </w:p>
        </w:tc>
        <w:tc>
          <w:tcPr>
            <w:tcW w:type="dxa" w:w="1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5.1</w:t>
            </w:r>
          </w:p>
        </w:tc>
        <w:tc>
          <w:tcPr>
            <w:tcW w:type="dxa" w:w="305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La variante aleatoria se excluye del pooling y su desempeño se calcula de forma analítica.</w:t>
            </w:r>
          </w:p>
        </w:tc>
        <w:tc>
          <w:tcPr>
            <w:tcW w:type="dxa" w:w="3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Aporta el 21 % de los candidatos únicos sin cumplir función de juicio. Para una consulta con k documentos relevantes entre n disponibles, la precisión esperada de un ordenamiento aleatorio es k/n, derivable de los propios juicios. El cálculo es exacto e insesgado, y evita que sus candidatos no juzgados se cuenten como no relevantes por defecto, lo que deprimiría artificialmente el valor de referencia.</w:t>
            </w:r>
          </w:p>
        </w:tc>
      </w:tr>
      <w:tr>
        <w:trPr>
          <w:tblHeader w:val="false"/>
        </w:trPr>
        <w:tc>
          <w:tcPr>
            <w:tcW w:type="dxa" w:w="145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27/08/2026</w:t>
            </w:r>
          </w:p>
        </w:tc>
        <w:tc>
          <w:tcPr>
            <w:tcW w:type="dxa" w:w="1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7.2</w:t>
            </w:r>
          </w:p>
        </w:tc>
        <w:tc>
          <w:tcPr>
            <w:tcW w:type="dxa" w:w="305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Se retiran nDCG@5 y Recall@5 como métricas primarias; el rango recíproco medio se trunca a la tercera posición.</w:t>
            </w:r>
          </w:p>
        </w:tc>
        <w:tc>
          <w:tcPr>
            <w:tcW w:type="dxa" w:w="3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Consecuencia directa de la profundidad tres: las posiciones cuarta y quinta quedan mayoritariamente sin juzgar y se computarían como no relevantes. Las métricas primarias pasan a ser Precision@3, nDCG@3 y MRR@3. Si se reportan las de profundidad cinco, se declaran de forma expresa como cotas inferiores.</w:t>
            </w:r>
          </w:p>
        </w:tc>
      </w:tr>
      <w:tr>
        <w:trPr>
          <w:tblHeader w:val="false"/>
        </w:trPr>
        <w:tc>
          <w:tcPr>
            <w:tcW w:type="dxa" w:w="145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27/08/2026</w:t>
            </w:r>
          </w:p>
        </w:tc>
        <w:tc>
          <w:tcPr>
            <w:tcW w:type="dxa" w:w="1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w:t>
            </w:r>
          </w:p>
        </w:tc>
        <w:tc>
          <w:tcPr>
            <w:tcW w:type="dxa" w:w="305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Se aclara la regla de precedencia entre este protocolo y la especificación técnica del proyecto.</w:t>
            </w:r>
          </w:p>
        </w:tc>
        <w:tc>
          <w:tcPr>
            <w:tcW w:type="dxa" w:w="3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El protocolo rige sobre todo lo relativo al juicio humano: rúbrica, reglas para casos límite, escala de confianza, requisitos de cegamiento y modalidad de adjudicación. La especificación técnica rige sobre los parámetros de ejecución: profundidad del pool, número de consultas, variantes evaluadas y métricas. La ambigüedad previa originó una contradicción entre ambos documentos, resuelta mediante las desviaciones anteriores.</w:t>
            </w:r>
          </w:p>
        </w:tc>
      </w:tr>
      <w:tr>
        <w:trPr>
          <w:tblHeader w:val="false"/>
        </w:trPr>
        <w:tc>
          <w:tcPr>
            <w:tcW w:type="dxa" w:w="145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04/09/2026</w:t>
            </w:r>
          </w:p>
        </w:tc>
        <w:tc>
          <w:tcPr>
            <w:tcW w:type="dxa" w:w="10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3 / 7.1</w:t>
            </w:r>
          </w:p>
        </w:tc>
        <w:tc>
          <w:tcPr>
            <w:tcW w:type="dxa" w:w="305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Se registra el estado del panel de adjudicadores a la fecha: los confirmados son médicos; no hay, a esta fecha, un abogado de derecho médico confirmado como adjudicador secundario.</w:t>
            </w:r>
          </w:p>
        </w:tc>
        <w:tc>
          <w:tcPr>
            <w:tcW w:type="dxa" w:w="3500"/>
            <w:tcMar>
              <w:top w:type="dxa" w:w="80"/>
              <w:left w:type="dxa" w:w="110"/>
              <w:bottom w:type="dxa" w:w="80"/>
              <w:right w:type="dxa" w:w="110"/>
            </w:tcMar>
          </w:tcPr>
          <w:p>
            <w:pPr>
              <w:spacing w:after="0" w:before="0" w:line="260"/>
              <w:jc w:val="left"/>
            </w:pPr>
            <w:r>
              <w:rPr>
                <w:rFonts w:ascii="Arial" w:cs="Arial" w:eastAsia="Arial" w:hAnsi="Arial"/>
                <w:b w:val="false"/>
                <w:bCs w:val="false"/>
                <w:sz w:val="20"/>
                <w:szCs w:val="20"/>
              </w:rPr>
              <w:t xml:space="preserve">El diseño original (sección 3) preveía idealmente un adjudicador secundario del ámbito legal, además del principal. Esa incorporación existe como posibilidad, no está descartada, pero tampoco está confirmada. Nota condicional, no resuelta aquí de antemano: si el panel se mantiene compuesto solo por médicos al momento de adjudicar, el kappa de Cohen resultante (sección 7.1) mide consistencia intra-gremio médico, no concordancia entre disciplinas, y se anota entonces como limitación definitiva. Si se suma un abogado de derecho médico, se incorpora como adjudicador secundario del ámbito legal según el diseño original, con su propia copia del instrumento generada aparte (--copy-id).</w:t>
            </w:r>
          </w:p>
        </w:tc>
      </w:tr>
    </w:tbl>
    <w:p>
      <w:pPr>
        <w:pStyle w:val="Heading1"/>
        <w:spacing w:after="160" w:before="340"/>
      </w:pPr>
      <w:r>
        <w:rPr>
          <w:rFonts w:ascii="Arial" w:cs="Arial" w:eastAsia="Arial" w:hAnsi="Arial"/>
          <w:b/>
          <w:bCs/>
          <w:color w:val="1F3864"/>
          <w:sz w:val="27"/>
          <w:szCs w:val="27"/>
        </w:rPr>
        <w:t xml:space="preserve">12. Nota sobre el corpus de perfiles</w:t>
      </w:r>
    </w:p>
    <w:p>
      <w:pPr>
        <w:spacing w:after="150" w:before="100" w:line="276"/>
        <w:jc w:val="both"/>
      </w:pPr>
      <w:r>
        <w:rPr>
          <w:rFonts w:ascii="Arial" w:cs="Arial" w:eastAsia="Arial" w:hAnsi="Arial"/>
          <w:b w:val="false"/>
          <w:bCs w:val="false"/>
          <w:i w:val="false"/>
          <w:iCs w:val="false"/>
          <w:sz w:val="22"/>
          <w:szCs w:val="22"/>
        </w:rPr>
        <w:t xml:space="preserve">Durante la construcción del corpus DS-03 se decidió conservar biografías deliberadamente genéricas en los pares de perfiles diseñados como casos difíciles, bajo el criterio de que una redacción genérica no equivale a una contradicción y de que la discriminación entre los miembros de cada par debía recaer exclusivamente en los campos estructurados.</w:t>
      </w:r>
    </w:p>
    <w:p>
      <w:pPr>
        <w:spacing w:after="150" w:before="100" w:line="276"/>
        <w:jc w:val="both"/>
      </w:pPr>
      <w:r>
        <w:rPr>
          <w:rFonts w:ascii="Arial" w:cs="Arial" w:eastAsia="Arial" w:hAnsi="Arial"/>
          <w:b w:val="false"/>
          <w:bCs w:val="false"/>
          <w:i w:val="false"/>
          <w:iCs w:val="false"/>
          <w:sz w:val="22"/>
          <w:szCs w:val="22"/>
        </w:rPr>
        <w:t xml:space="preserve">La composición del pool evidenció que uno de esos pares (Pilar Zevallos y Julio Aliaga) produce intrusiones en ocho de las veinte consultas, con áreas médicas que no corresponden. La explicación más plausible es que su biografía compartida resuena con un tema narrativo transversal —documentación o explicación insuficiente del proceso asistencial— presente en numerosas consultas con independencia del área clínica.</w:t>
      </w:r>
    </w:p>
    <w:p>
      <w:pPr>
        <w:spacing w:after="150" w:before="100" w:line="276"/>
        <w:jc w:val="both"/>
      </w:pPr>
      <w:r>
        <w:rPr>
          <w:rFonts w:ascii="Arial" w:cs="Arial" w:eastAsia="Arial" w:hAnsi="Arial"/>
          <w:b w:val="false"/>
          <w:bCs w:val="false"/>
          <w:i w:val="false"/>
          <w:iCs w:val="false"/>
          <w:sz w:val="22"/>
          <w:szCs w:val="22"/>
        </w:rPr>
        <w:t xml:space="preserve">La decisión de conservar esas biografías se registra aquí de forma expresa, por transparencia: el fenómeno observado es consecuencia de un criterio adoptado deliberadamente durante la construcción del corpus, no un hallazgo espontáneo. El corpus permanece cerrado; si el análisis confirma que el efecto persiste, se documentará como limitación en el datasheet del corpus y en el model card, sin regenerarlo.</w:t>
      </w:r>
    </w:p>
    <w:sectPr>
      <w:pgSz w:w="11906" w:h="16838" w:orient="portrait"/>
      <w:pgMar w:top="1180" w:right="1240" w:bottom="11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20"/>
      </w:pPr>
    </w:lvl>
  </w:abstractNum>
  <w:abstractNum w:abstractNumId="3" w15:restartNumberingAfterBreak="0">
    <w:multiLevelType w:val="hybridMultilevel"/>
    <w:lvl w:ilvl="0" w15:tentative="1">
      <w:start w:val="1"/>
      <w:numFmt w:val="decimal"/>
      <w:lvlText w:val="%1."/>
      <w:lvlJc w:val="start"/>
      <w:pPr>
        <w:ind w:left="620" w:hanging="320"/>
      </w:pPr>
    </w:lvl>
  </w:abstractNum>
  <w:abstractNum w:abstractNumId="4" w15:restartNumberingAfterBreak="0">
    <w:multiLevelType w:val="hybridMultilevel"/>
    <w:lvl w:ilvl="0" w15:tentative="1">
      <w:start w:val="1"/>
      <w:numFmt w:val="decimal"/>
      <w:lvlText w:val="%1."/>
      <w:lvlJc w:val="start"/>
      <w:pPr>
        <w:ind w:left="620" w:hanging="320"/>
      </w:pPr>
    </w:lvl>
  </w:abstractNum>
  <w:abstractNum w:abstractNumId="5" w15:restartNumberingAfterBreak="0">
    <w:multiLevelType w:val="hybridMultilevel"/>
    <w:lvl w:ilvl="0" w15:tentative="1">
      <w:start w:val="1"/>
      <w:numFmt w:val="decimal"/>
      <w:lvlText w:val="%1."/>
      <w:lvlJc w:val="start"/>
      <w:pPr>
        <w:ind w:left="620" w:hanging="32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2026-08-27T20:29:38.088Z</dcterms:created>
  <dcterms:modified xsi:type="dcterms:W3CDTF">2026-08-27T20:29:38.088Z</dcterms:modified>
</cp:coreProperties>
</file>

<file path=docProps/custom.xml><?xml version="1.0" encoding="utf-8"?>
<Properties xmlns="http://schemas.openxmlformats.org/officeDocument/2006/custom-properties" xmlns:vt="http://schemas.openxmlformats.org/officeDocument/2006/docPropsVTypes"/>
</file>