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2E5F8A"/>
          <w:sz w:val="32"/>
          <w:szCs w:val="32"/>
        </w:rPr>
        <w:t xml:space="preserve">Guía de Incorporación de Antecedentes Internacionales</w:t>
      </w:r>
    </w:p>
    <w:p>
      <w:pPr>
        <w:spacing w:after="80" w:before="0"/>
        <w:jc w:val="center"/>
      </w:pPr>
      <w:r>
        <w:rPr>
          <w:rFonts w:ascii="Arial" w:cs="Arial" w:eastAsia="Arial" w:hAnsi="Arial"/>
          <w:color w:val="555555"/>
          <w:sz w:val="22"/>
          <w:szCs w:val="22"/>
        </w:rPr>
        <w:t xml:space="preserve">Aplicaciones y Plataformas Internacionales en Asesoramiento Médico-Legal</w:t>
      </w:r>
    </w:p>
    <w:p>
      <w:pPr>
        <w:spacing w:after="400" w:before="0"/>
        <w:jc w:val="center"/>
      </w:pPr>
      <w:r>
        <w:rPr>
          <w:rFonts w:ascii="Arial" w:cs="Arial" w:eastAsia="Arial" w:hAnsi="Arial"/>
          <w:i/>
          <w:iCs/>
          <w:color w:val="555555"/>
          <w:sz w:val="20"/>
          <w:szCs w:val="20"/>
        </w:rPr>
        <w:t xml:space="preserve">Proyecto MedicoLegal MVP — Vasquez &amp; Reyes (2026)</w:t>
      </w:r>
    </w:p>
    <w:p>
      <w:pPr>
        <w:pBdr>
          <w:bottom w:val="single" w:color="CCCCCC" w:sz="4"/>
        </w:pBdr>
        <w:spacing w:after="200" w:before="200"/>
      </w:pPr>
    </w:p>
    <w:p>
      <w:pPr>
        <w:pStyle w:val="Heading1"/>
        <w:spacing w:after="160" w:before="320"/>
      </w:pPr>
      <w:r>
        <w:rPr>
          <w:rFonts w:ascii="Arial" w:cs="Arial" w:eastAsia="Arial" w:hAnsi="Arial"/>
          <w:b/>
          <w:bCs/>
          <w:color w:val="2E5F8A"/>
          <w:sz w:val="28"/>
          <w:szCs w:val="28"/>
        </w:rPr>
        <w:t xml:space="preserve">1. En qué documentos agregar esta información</w:t>
      </w:r>
    </w:p>
    <w:p>
      <w:pPr>
        <w:spacing w:after="80" w:before="80" w:line="276"/>
        <w:ind/>
        <w:jc w:val="both"/>
      </w:pPr>
      <w:r>
        <w:rPr>
          <w:rFonts w:ascii="Arial" w:cs="Arial" w:eastAsia="Arial" w:hAnsi="Arial"/>
          <w:color w:val="1A1A1A"/>
          <w:sz w:val="20"/>
          <w:szCs w:val="20"/>
        </w:rPr>
        <w:t xml:space="preserve">La evidencia sobre aplicaciones y plataformas internacionales debe incorporarse en dos documentos del proyecto, en secciones específicas. A continuación se detalla dónde, por qué y con qué propósito.</w:t>
      </w:r>
    </w:p>
    <w:p>
      <w:pPr>
        <w:pStyle w:val="Heading2"/>
        <w:spacing w:after="120" w:before="240"/>
      </w:pPr>
      <w:r>
        <w:rPr>
          <w:rFonts w:ascii="Arial" w:cs="Arial" w:eastAsia="Arial" w:hAnsi="Arial"/>
          <w:b/>
          <w:bCs/>
          <w:color w:val="1A1A1A"/>
          <w:sz w:val="24"/>
          <w:szCs w:val="24"/>
        </w:rPr>
        <w:t xml:space="preserve">1.1 Memoria TDP — Sección 1.1.2 Antecedentes Globales</w:t>
      </w:r>
    </w:p>
    <w:p>
      <w:pPr>
        <w:spacing w:after="80" w:before="80" w:line="276"/>
        <w:jc w:val="both"/>
      </w:pPr>
      <w:r>
        <w:rPr>
          <w:rFonts w:ascii="Arial" w:cs="Arial" w:eastAsia="Arial" w:hAnsi="Arial"/>
          <w:b/>
          <w:bCs/>
          <w:color w:val="1A1A1A"/>
          <w:sz w:val="20"/>
          <w:szCs w:val="20"/>
        </w:rPr>
        <w:t xml:space="preserve">Documento: </w:t>
      </w:r>
      <w:r>
        <w:rPr>
          <w:rFonts w:ascii="Arial" w:cs="Arial" w:eastAsia="Arial" w:hAnsi="Arial"/>
          <w:color w:val="1A1A1A"/>
          <w:sz w:val="20"/>
          <w:szCs w:val="20"/>
        </w:rPr>
        <w:t xml:space="preserve">Memoria_TDP_Vasquez_Augusto_Reyes_Renato.docx</w:t>
      </w:r>
    </w:p>
    <w:p>
      <w:pPr>
        <w:spacing w:after="80" w:before="80" w:line="276"/>
        <w:jc w:val="both"/>
      </w:pPr>
      <w:r>
        <w:rPr>
          <w:rFonts w:ascii="Arial" w:cs="Arial" w:eastAsia="Arial" w:hAnsi="Arial"/>
          <w:b/>
          <w:bCs/>
          <w:color w:val="1A1A1A"/>
          <w:sz w:val="20"/>
          <w:szCs w:val="20"/>
        </w:rPr>
        <w:t xml:space="preserve">Sección exacta: </w:t>
      </w:r>
      <w:r>
        <w:rPr>
          <w:rFonts w:ascii="Arial" w:cs="Arial" w:eastAsia="Arial" w:hAnsi="Arial"/>
          <w:color w:val="1A1A1A"/>
          <w:sz w:val="20"/>
          <w:szCs w:val="20"/>
        </w:rPr>
        <w:t xml:space="preserve">Capítulo 1 → 1.1 Antecedentes → 1.1.2 Antecedentes Globales</w:t>
      </w:r>
    </w:p>
    <w:p>
      <w:pPr>
        <w:spacing w:after="80" w:before="80" w:line="276"/>
        <w:jc w:val="both"/>
      </w:pPr>
      <w:r>
        <w:rPr>
          <w:rFonts w:ascii="Arial" w:cs="Arial" w:eastAsia="Arial" w:hAnsi="Arial"/>
          <w:b/>
          <w:bCs/>
          <w:color w:val="1A1A1A"/>
          <w:sz w:val="20"/>
          <w:szCs w:val="20"/>
        </w:rPr>
        <w:t xml:space="preserve">Por qué aquí: </w:t>
      </w:r>
      <w:r>
        <w:rPr>
          <w:rFonts w:ascii="Arial" w:cs="Arial" w:eastAsia="Arial" w:hAnsi="Arial"/>
          <w:color w:val="1A1A1A"/>
          <w:sz w:val="20"/>
          <w:szCs w:val="20"/>
        </w:rPr>
        <w:t xml:space="preserve">Esta sección ya contiene evidencia internacional sobre litigiosidad médica (Newman-Toker, Prieto, Gunenc). Agregar las plataformas internacionales existentes completa el panorama: primero se describe el problema global, y luego se muestra que las soluciones existentes son insuficientes, incompletas o no aplicables al contexto peruano. Esto fortalece la justificación del proyecto.</w:t>
      </w:r>
    </w:p>
    <w:p>
      <w:pPr>
        <w:pStyle w:val="Heading2"/>
        <w:spacing w:after="120" w:before="240"/>
      </w:pPr>
      <w:r>
        <w:rPr>
          <w:rFonts w:ascii="Arial" w:cs="Arial" w:eastAsia="Arial" w:hAnsi="Arial"/>
          <w:b/>
          <w:bCs/>
          <w:color w:val="1A1A1A"/>
          <w:sz w:val="24"/>
          <w:szCs w:val="24"/>
        </w:rPr>
        <w:t xml:space="preserve">1.2 Short Paper (IEEE ICECCME 2026) — Sección II: Related Works</w:t>
      </w:r>
    </w:p>
    <w:p>
      <w:pPr>
        <w:spacing w:after="80" w:before="80" w:line="276"/>
        <w:jc w:val="both"/>
      </w:pPr>
      <w:r>
        <w:rPr>
          <w:rFonts w:ascii="Arial" w:cs="Arial" w:eastAsia="Arial" w:hAnsi="Arial"/>
          <w:b/>
          <w:bCs/>
          <w:color w:val="1A1A1A"/>
          <w:sz w:val="20"/>
          <w:szCs w:val="20"/>
        </w:rPr>
        <w:t xml:space="preserve">Documento: </w:t>
      </w:r>
      <w:r>
        <w:rPr>
          <w:rFonts w:ascii="Arial" w:cs="Arial" w:eastAsia="Arial" w:hAnsi="Arial"/>
          <w:color w:val="1A1A1A"/>
          <w:sz w:val="20"/>
          <w:szCs w:val="20"/>
        </w:rPr>
        <w:t xml:space="preserve">Paper IEEE en construcción (sección II. Related Works / Revisión de Literatura)</w:t>
      </w:r>
    </w:p>
    <w:p>
      <w:pPr>
        <w:spacing w:after="80" w:before="80" w:line="276"/>
        <w:jc w:val="both"/>
      </w:pPr>
      <w:r>
        <w:rPr>
          <w:rFonts w:ascii="Arial" w:cs="Arial" w:eastAsia="Arial" w:hAnsi="Arial"/>
          <w:b/>
          <w:bCs/>
          <w:color w:val="1A1A1A"/>
          <w:sz w:val="20"/>
          <w:szCs w:val="20"/>
        </w:rPr>
        <w:t xml:space="preserve">Sección exacta: </w:t>
      </w:r>
      <w:r>
        <w:rPr>
          <w:rFonts w:ascii="Arial" w:cs="Arial" w:eastAsia="Arial" w:hAnsi="Arial"/>
          <w:color w:val="1A1A1A"/>
          <w:sz w:val="20"/>
          <w:szCs w:val="20"/>
        </w:rPr>
        <w:t xml:space="preserve">II. Related Works — subsección sobre plataformas y soluciones existentes</w:t>
      </w:r>
    </w:p>
    <w:p>
      <w:pPr>
        <w:spacing w:after="80" w:before="80" w:line="276"/>
        <w:jc w:val="both"/>
      </w:pPr>
      <w:r>
        <w:rPr>
          <w:rFonts w:ascii="Arial" w:cs="Arial" w:eastAsia="Arial" w:hAnsi="Arial"/>
          <w:b/>
          <w:bCs/>
          <w:color w:val="1A1A1A"/>
          <w:sz w:val="20"/>
          <w:szCs w:val="20"/>
        </w:rPr>
        <w:t xml:space="preserve">Por qué aquí: </w:t>
      </w:r>
      <w:r>
        <w:rPr>
          <w:rFonts w:ascii="Arial" w:cs="Arial" w:eastAsia="Arial" w:hAnsi="Arial"/>
          <w:color w:val="1A1A1A"/>
          <w:sz w:val="20"/>
          <w:szCs w:val="20"/>
        </w:rPr>
        <w:t xml:space="preserve">El paper requiere mostrar por qué la solución propuesta es novedosa. Según la rúbrica S031 y la guía EISC TP1, la Revisión de Literatura debe incluir una conclusión que evidencie vacíos, limitaciones o diferencias respecto al aporte propio. Citar estas plataformas y explicar sus limitaciones es la base del argumento 'Why hasn't it been solved before?'</w:t>
      </w:r>
    </w:p>
    <w:p>
      <w:pPr>
        <w:pBdr>
          <w:bottom w:val="single" w:color="CCCCCC" w:sz="4"/>
        </w:pBdr>
        <w:spacing w:after="200" w:before="200"/>
      </w:pPr>
    </w:p>
    <w:p>
      <w:pPr>
        <w:pStyle w:val="Heading1"/>
        <w:spacing w:after="160" w:before="320"/>
      </w:pPr>
      <w:r>
        <w:rPr>
          <w:rFonts w:ascii="Arial" w:cs="Arial" w:eastAsia="Arial" w:hAnsi="Arial"/>
          <w:b/>
          <w:bCs/>
          <w:color w:val="2E5F8A"/>
          <w:sz w:val="28"/>
          <w:szCs w:val="28"/>
        </w:rPr>
        <w:t xml:space="preserve">2. Redacción lista para insertar</w:t>
      </w:r>
    </w:p>
    <w:p>
      <w:pPr>
        <w:pStyle w:val="Heading2"/>
        <w:spacing w:after="120" w:before="240"/>
      </w:pPr>
      <w:r>
        <w:rPr>
          <w:rFonts w:ascii="Arial" w:cs="Arial" w:eastAsia="Arial" w:hAnsi="Arial"/>
          <w:b/>
          <w:bCs/>
          <w:color w:val="1A1A1A"/>
          <w:sz w:val="24"/>
          <w:szCs w:val="24"/>
        </w:rPr>
        <w:t xml:space="preserve">2.1 Para Memoria TDP — Sección 1.1.2 Antecedentes Globales</w:t>
      </w:r>
    </w:p>
    <w:p>
      <w:pPr>
        <w:spacing w:after="80" w:before="80" w:line="276"/>
        <w:ind/>
        <w:jc w:val="both"/>
      </w:pPr>
      <w:r>
        <w:rPr>
          <w:rFonts w:ascii="Arial" w:cs="Arial" w:eastAsia="Arial" w:hAnsi="Arial"/>
          <w:color w:val="1A1A1A"/>
          <w:sz w:val="20"/>
          <w:szCs w:val="20"/>
        </w:rPr>
        <w:t xml:space="preserve">Insertar al final del texto existente de la sección 1.1.2, antes de la síntesis final del párrafo. El texto a continuación está en español, en estilo académico APA 7 en texto, y listo para copiar:</w:t>
      </w:r>
    </w:p>
    <w:p>
      <w:pPr>
        <w:spacing w:after="60" w:before="160"/>
      </w:pPr>
      <w:r>
        <w:rPr>
          <w:rFonts w:ascii="Arial" w:cs="Arial" w:eastAsia="Arial" w:hAnsi="Arial"/>
          <w:b/>
          <w:bCs/>
          <w:color w:val="2E5F8A"/>
          <w:sz w:val="20"/>
          <w:szCs w:val="20"/>
        </w:rPr>
        <w:t xml:space="preserve">── TEXTO A INSERTAR ──</w:t>
      </w:r>
    </w:p>
    <w:p>
      <w:pPr>
        <w:spacing w:after="80" w:before="80" w:line="276"/>
        <w:ind/>
        <w:jc w:val="both"/>
      </w:pPr>
      <w:r>
        <w:rPr>
          <w:rFonts w:ascii="Arial" w:cs="Arial" w:eastAsia="Arial" w:hAnsi="Arial"/>
          <w:color w:val="1A1A1A"/>
          <w:sz w:val="20"/>
          <w:szCs w:val="20"/>
        </w:rPr>
        <w:t xml:space="preserve">En el plano tecnológico internacional, han emergido diversas iniciativas orientadas a digitalizar aspectos del proceso médico-legal, aunque ninguna aborda de manera integrada la clasificación automatizada de consultas, el emparejamiento entre profesionales de salud y abogados especializados, y la trazabilidad del proceso en un único flujo digital.</w:t>
      </w:r>
    </w:p>
    <w:p>
      <w:pPr>
        <w:spacing w:after="80" w:before="80" w:line="276"/>
        <w:ind/>
        <w:jc w:val="both"/>
      </w:pPr>
      <w:r>
        <w:rPr>
          <w:rFonts w:ascii="Arial" w:cs="Arial" w:eastAsia="Arial" w:hAnsi="Arial"/>
          <w:color w:val="1A1A1A"/>
          <w:sz w:val="20"/>
          <w:szCs w:val="20"/>
        </w:rPr>
        <w:t xml:space="preserve">En Norteamérica, plataformas como Eve Legal (EE.UU.) y DigitalOwl (EE.UU.) aplican inteligencia artificial para procesar expedientes médicos en el contexto de litigios por mala praxis, generando cronologías y paquetes de demanda para firmas de abogados de lesiones personales (Eve Legal, 2025; DigitalOwl, 2025). Asimismo, CloudLex (EE.UU.) ofrece gestión centralizada de casos de negligencia médica orientada al despacho legal, con seguimiento de documentos, plazos y comunicaciones bajo cumplimiento HIPAA (CloudLex, 2025). Sin embargo, estas plataformas están diseñadas desde la perspectiva del abogado litigante, no del profesional de salud que enfrenta una situación médico-legal en sus etapas iniciales, y no incluyen módulos de clasificación de riesgo, priorización de consultas ni recomendación explicable de perfiles legales basada en Machine Learning.</w:t>
      </w:r>
    </w:p>
    <w:p>
      <w:pPr>
        <w:spacing w:after="80" w:before="80" w:line="276"/>
        <w:ind/>
        <w:jc w:val="both"/>
      </w:pPr>
      <w:r>
        <w:rPr>
          <w:rFonts w:ascii="Arial" w:cs="Arial" w:eastAsia="Arial" w:hAnsi="Arial"/>
          <w:color w:val="1A1A1A"/>
          <w:sz w:val="20"/>
          <w:szCs w:val="20"/>
        </w:rPr>
        <w:t xml:space="preserve">En América Latina, Legalify (Argentina) conecta a particulares con abogados según tipo de problema y ubicación geográfica, con más de 1,000 profesionales registrados (Legalify, 2025; Stochetti, 2021). No obstante, esta plataforma está orientada al público general y no contempla la especificidad del entorno médico-legal, ni clasifica consultas por urgencia o complejidad, ni emplea modelos de Machine Learning para el matching. En México, el Medical Legal Center ofrece asesoría integral a médicos con cobertura nacional en materia civil, penal y administrativa, pero opera bajo un modelo de membresía gremial sin automatización del proceso de derivación ni trazabilidad digitalizada de las consultas (Medical Legal Center, 2022). En Argentina, la Sociedad Argentina de Gastroenterología (SAGE) implementó desde 2018 un servicio de asesoramiento médico-legal para sus socios, articulando estudios jurídicos especializados mediante comunicaciones periódicas y charlas, pero sin plataforma digital estructurada ni mecanismos de clasificación o priorización de casos (SAGE, 2023).</w:t>
      </w:r>
    </w:p>
    <w:p>
      <w:pPr>
        <w:spacing w:after="80" w:before="80" w:line="276"/>
        <w:ind/>
        <w:jc w:val="both"/>
      </w:pPr>
      <w:r>
        <w:rPr>
          <w:rFonts w:ascii="Arial" w:cs="Arial" w:eastAsia="Arial" w:hAnsi="Arial"/>
          <w:color w:val="1A1A1A"/>
          <w:sz w:val="20"/>
          <w:szCs w:val="20"/>
        </w:rPr>
        <w:t xml:space="preserve">En conjunto, la revisión de soluciones existentes evidencia que el problema del acceso oportuno, estructurado y trazable al asesoramiento médico-legal para profesionales de salud no ha sido resuelto mediante una plataforma digital que integre Machine Learning con explicabilidad. Las iniciativas identificadas abordan fragmentos del proceso (análisis documental, comunicación informal, membresía gremial o gestión de litigios desde el lado legal), sin ofrecer un flujo completo que incluya registro de consultas, clasificación por tipo y urgencia, matching médico-abogado basado en contenido y trazabilidad auditable. Este vacío justifica el desarrollo de la propuesta del presente proyecto para el contexto del sector salud peruano.</w:t>
      </w:r>
    </w:p>
    <w:p>
      <w:pPr>
        <w:pBdr>
          <w:bottom w:val="single" w:color="CCCCCC" w:sz="4"/>
        </w:pBdr>
        <w:spacing w:after="200" w:before="200"/>
      </w:pPr>
    </w:p>
    <w:p>
      <w:pPr>
        <w:pStyle w:val="Heading2"/>
        <w:spacing w:after="120" w:before="240"/>
      </w:pPr>
      <w:r>
        <w:rPr>
          <w:rFonts w:ascii="Arial" w:cs="Arial" w:eastAsia="Arial" w:hAnsi="Arial"/>
          <w:b/>
          <w:bCs/>
          <w:color w:val="1A1A1A"/>
          <w:sz w:val="24"/>
          <w:szCs w:val="24"/>
        </w:rPr>
        <w:t xml:space="preserve">2.2 Para el Short Paper IEEE — Sección II. Related Works</w:t>
      </w:r>
    </w:p>
    <w:p>
      <w:pPr>
        <w:spacing w:after="80" w:before="80" w:line="276"/>
        <w:ind/>
        <w:jc w:val="both"/>
      </w:pPr>
      <w:r>
        <w:rPr>
          <w:rFonts w:ascii="Arial" w:cs="Arial" w:eastAsia="Arial" w:hAnsi="Arial"/>
          <w:color w:val="1A1A1A"/>
          <w:sz w:val="20"/>
          <w:szCs w:val="20"/>
        </w:rPr>
        <w:t xml:space="preserve">El siguiente texto está redactado en español académico para la versión en español del paper, listo para insertar en la sección de Revisión de Literatura o Related Works. Puede traducirse al inglés para la versión final IEEE.</w:t>
      </w:r>
    </w:p>
    <w:p>
      <w:pPr>
        <w:spacing w:after="60" w:before="160"/>
      </w:pPr>
      <w:r>
        <w:rPr>
          <w:rFonts w:ascii="Arial" w:cs="Arial" w:eastAsia="Arial" w:hAnsi="Arial"/>
          <w:b/>
          <w:bCs/>
          <w:color w:val="2E5F8A"/>
          <w:sz w:val="20"/>
          <w:szCs w:val="20"/>
        </w:rPr>
        <w:t xml:space="preserve">── TEXTO A INSERTAR ──</w:t>
      </w:r>
    </w:p>
    <w:p>
      <w:pPr>
        <w:spacing w:after="80" w:before="80" w:line="276"/>
        <w:ind/>
        <w:jc w:val="both"/>
      </w:pPr>
      <w:r>
        <w:rPr>
          <w:rFonts w:ascii="Arial" w:cs="Arial" w:eastAsia="Arial" w:hAnsi="Arial"/>
          <w:color w:val="1A1A1A"/>
          <w:sz w:val="20"/>
          <w:szCs w:val="20"/>
        </w:rPr>
        <w:t xml:space="preserve">A nivel internacional, las soluciones existentes abordan aspectos parciales del problema médico-legal sin integrar clasificación automatizada, emparejamiento profesional y trazabilidad en un único flujo digital centrado en el profesional de salud.</w:t>
      </w:r>
    </w:p>
    <w:p>
      <w:pPr>
        <w:spacing w:after="80" w:before="80" w:line="276"/>
        <w:ind/>
        <w:jc w:val="both"/>
      </w:pPr>
      <w:r>
        <w:rPr>
          <w:rFonts w:ascii="Arial" w:cs="Arial" w:eastAsia="Arial" w:hAnsi="Arial"/>
          <w:color w:val="1A1A1A"/>
          <w:sz w:val="20"/>
          <w:szCs w:val="20"/>
        </w:rPr>
        <w:t xml:space="preserve">En el contexto anglosajón, plataformas como Eve Legal y DigitalOwl (EE.UU.) aplican procesamiento de lenguaje natural para analizar expedientes médicos masivos y generar cronologías clínicas para abogados de personal injury (Eve Legal, 2025; DigitalOwl, 2025). CloudLex (EE.UU.) ofrece gestión de casos de mala praxis con seguimiento documental y comunicación centralizada, orientado a despachos legales bajo estándar HIPAA (CloudLex, 2025). Estas plataformas operan desde la perspectiva del litigante y no incluyen módulos de acceso para el médico demandado ni clasificación de riesgo médico-legal desde sus etapas iniciales.</w:t>
      </w:r>
    </w:p>
    <w:p>
      <w:pPr>
        <w:spacing w:after="80" w:before="80" w:line="276"/>
        <w:ind/>
        <w:jc w:val="both"/>
      </w:pPr>
      <w:r>
        <w:rPr>
          <w:rFonts w:ascii="Arial" w:cs="Arial" w:eastAsia="Arial" w:hAnsi="Arial"/>
          <w:color w:val="1A1A1A"/>
          <w:sz w:val="20"/>
          <w:szCs w:val="20"/>
        </w:rPr>
        <w:t xml:space="preserve">En América Latina, Legalify (Argentina) conecta a usuarios con abogados según tipo de problema y ubicación, pero no incorpora Machine Learning ni está especializada en el entorno médico-legal (Legalify, 2025). El Medical Legal Center (México) provee asesoría especializada a médicos bajo un modelo de membresía, sin automatización ni trazabilidad del proceso de derivación (Medical Legal Center, 2022). A diferencia de estas iniciativas, la propuesta del presente trabajo integra clasificación supervisada con Random Forest, recomendación basada en TF-IDF con similitud del coseno, explicabilidad mediante SHAP y LIME, y trazabilidad auditable, orientado específicamente al profesional de salud del sector peruano.</w:t>
      </w:r>
    </w:p>
    <w:p>
      <w:pPr>
        <w:pBdr>
          <w:bottom w:val="single" w:color="CCCCCC" w:sz="4"/>
        </w:pBdr>
        <w:spacing w:after="200" w:before="200"/>
      </w:pPr>
    </w:p>
    <w:p>
      <w:pPr>
        <w:pStyle w:val="Heading1"/>
        <w:spacing w:after="160" w:before="320"/>
      </w:pPr>
      <w:r>
        <w:rPr>
          <w:rFonts w:ascii="Arial" w:cs="Arial" w:eastAsia="Arial" w:hAnsi="Arial"/>
          <w:b/>
          <w:bCs/>
          <w:color w:val="2E5F8A"/>
          <w:sz w:val="28"/>
          <w:szCs w:val="28"/>
        </w:rPr>
        <w:t xml:space="preserve">3. Bibliografía en formato APA 7</w:t>
      </w:r>
    </w:p>
    <w:p>
      <w:pPr>
        <w:spacing w:after="80" w:before="80" w:line="276"/>
        <w:ind/>
        <w:jc w:val="both"/>
      </w:pPr>
      <w:r>
        <w:rPr>
          <w:rFonts w:ascii="Arial" w:cs="Arial" w:eastAsia="Arial" w:hAnsi="Arial"/>
          <w:color w:val="1A1A1A"/>
          <w:sz w:val="20"/>
          <w:szCs w:val="20"/>
        </w:rPr>
        <w:t xml:space="preserve">Las siguientes referencias corresponden a las fuentes citadas en los textos anteriores. Deben agregarse a la sección de Referencias Bibliográficas de cada documento donde se inserte el texto.</w:t>
      </w:r>
    </w:p>
    <w:p>
      <w:pPr>
        <w:pStyle w:val="Heading2"/>
        <w:spacing w:after="120" w:before="240"/>
      </w:pPr>
      <w:r>
        <w:rPr>
          <w:rFonts w:ascii="Arial" w:cs="Arial" w:eastAsia="Arial" w:hAnsi="Arial"/>
          <w:b/>
          <w:bCs/>
          <w:color w:val="1A1A1A"/>
          <w:sz w:val="24"/>
          <w:szCs w:val="24"/>
        </w:rPr>
        <w:t xml:space="preserve">3.1 Plataformas internacionales (fuentes web/institucionales)</w:t>
      </w:r>
    </w:p>
    <w:p>
      <w:pPr>
        <w:spacing w:after="60" w:before="60" w:line="260"/>
        <w:ind w:left="720" w:hanging="720"/>
      </w:pPr>
      <w:r>
        <w:rPr>
          <w:rFonts w:ascii="Arial" w:cs="Arial" w:eastAsia="Arial" w:hAnsi="Arial"/>
          <w:color w:val="1A1A1A"/>
          <w:sz w:val="18"/>
          <w:szCs w:val="18"/>
        </w:rPr>
        <w:t xml:space="preserve">CloudLex. (2025). Medical malpractice software: Manage PI cases efficiently. https://www.cloudlex.com/practice-areas/medical-malpractice-law-software/</w:t>
      </w:r>
    </w:p>
    <w:p>
      <w:pPr>
        <w:spacing w:after="60" w:before="60" w:line="260"/>
        <w:ind w:left="720" w:hanging="720"/>
      </w:pPr>
      <w:r>
        <w:rPr>
          <w:rFonts w:ascii="Arial" w:cs="Arial" w:eastAsia="Arial" w:hAnsi="Arial"/>
          <w:color w:val="1A1A1A"/>
          <w:sz w:val="18"/>
          <w:szCs w:val="18"/>
        </w:rPr>
        <w:t xml:space="preserve">DigitalOwl. (2025). AI medical record reviews for insurance &amp; legal. https://www.digitalowl.com/</w:t>
      </w:r>
    </w:p>
    <w:p>
      <w:pPr>
        <w:spacing w:after="60" w:before="60" w:line="260"/>
        <w:ind w:left="720" w:hanging="720"/>
      </w:pPr>
      <w:r>
        <w:rPr>
          <w:rFonts w:ascii="Arial" w:cs="Arial" w:eastAsia="Arial" w:hAnsi="Arial"/>
          <w:color w:val="1A1A1A"/>
          <w:sz w:val="18"/>
          <w:szCs w:val="18"/>
        </w:rPr>
        <w:t xml:space="preserve">Eve Legal. (2025). Legal AI for plaintiff law firms. https://www.eve.legal/</w:t>
      </w:r>
    </w:p>
    <w:p>
      <w:pPr>
        <w:spacing w:after="60" w:before="60" w:line="260"/>
        <w:ind w:left="720" w:hanging="720"/>
      </w:pPr>
      <w:r>
        <w:rPr>
          <w:rFonts w:ascii="Arial" w:cs="Arial" w:eastAsia="Arial" w:hAnsi="Arial"/>
          <w:color w:val="1A1A1A"/>
          <w:sz w:val="18"/>
          <w:szCs w:val="18"/>
        </w:rPr>
        <w:t xml:space="preserve">Legalify. (2025). Plataforma legal digital. https://legalify.app/</w:t>
      </w:r>
    </w:p>
    <w:p>
      <w:pPr>
        <w:spacing w:after="60" w:before="60" w:line="260"/>
        <w:ind w:left="720" w:hanging="720"/>
      </w:pPr>
      <w:r>
        <w:rPr>
          <w:rFonts w:ascii="Arial" w:cs="Arial" w:eastAsia="Arial" w:hAnsi="Arial"/>
          <w:color w:val="1A1A1A"/>
          <w:sz w:val="18"/>
          <w:szCs w:val="18"/>
        </w:rPr>
        <w:t xml:space="preserve">Medical Legal Center. (2022). Líderes en protección médico legal en México. https://medicallegalcenter.com/</w:t>
      </w:r>
    </w:p>
    <w:p>
      <w:pPr>
        <w:spacing w:after="60" w:before="60" w:line="260"/>
        <w:ind w:left="720" w:hanging="720"/>
      </w:pPr>
      <w:r>
        <w:rPr>
          <w:rFonts w:ascii="Arial" w:cs="Arial" w:eastAsia="Arial" w:hAnsi="Arial"/>
          <w:color w:val="1A1A1A"/>
          <w:sz w:val="18"/>
          <w:szCs w:val="18"/>
        </w:rPr>
        <w:t xml:space="preserve">Sociedad Argentina de Gastroenterología. (2023). Asesoramiento médico legal. https://sage.org.ar/asesoramiento-medico-legal/</w:t>
      </w:r>
    </w:p>
    <w:p>
      <w:pPr>
        <w:spacing w:after="60" w:before="60" w:line="260"/>
        <w:ind w:left="720" w:hanging="720"/>
      </w:pPr>
      <w:r>
        <w:rPr>
          <w:rFonts w:ascii="Arial" w:cs="Arial" w:eastAsia="Arial" w:hAnsi="Arial"/>
          <w:color w:val="1A1A1A"/>
          <w:sz w:val="18"/>
          <w:szCs w:val="18"/>
        </w:rPr>
        <w:t xml:space="preserve">Stochetti, S. (2021, 6 de junio). Abogados online: Creó una plataforma para solicitar asesoría legal virtual. La Nación. https://www.lanacion.com.ar/revista-brando/abogados-online-creo-una-plataforma-para-solicitar-asesoria-legal-virtual-nid06062021/</w:t>
      </w:r>
    </w:p>
    <w:p>
      <w:pPr>
        <w:pStyle w:val="Heading2"/>
        <w:spacing w:after="120" w:before="240"/>
      </w:pPr>
      <w:r>
        <w:rPr>
          <w:rFonts w:ascii="Arial" w:cs="Arial" w:eastAsia="Arial" w:hAnsi="Arial"/>
          <w:b/>
          <w:bCs/>
          <w:color w:val="1A1A1A"/>
          <w:sz w:val="24"/>
          <w:szCs w:val="24"/>
        </w:rPr>
        <w:t xml:space="preserve">3.2 Evidencia científica complementaria (ya citadas en Memoria TDP, incluir si no están)</w:t>
      </w:r>
    </w:p>
    <w:p>
      <w:pPr>
        <w:spacing w:after="60" w:before="60" w:line="260"/>
        <w:ind w:left="720" w:hanging="720"/>
      </w:pPr>
      <w:r>
        <w:rPr>
          <w:rFonts w:ascii="Arial" w:cs="Arial" w:eastAsia="Arial" w:hAnsi="Arial"/>
          <w:color w:val="1A1A1A"/>
          <w:sz w:val="18"/>
          <w:szCs w:val="18"/>
        </w:rPr>
        <w:t xml:space="preserve">Lawton, T., Morgan, P., Porter, Z., Hickey, S., Cunningham, A., Hughes, N., Iacovides, I., Jia, Y., Sharma, V., &amp; Habli, I. (2024). Clinicians risk becoming 'liability sinks' for artificial intelligence. Future Healthcare Journal, 11(1), 100007. https://doi.org/10.1016/j.fhj.2024.100007</w:t>
      </w:r>
    </w:p>
    <w:p>
      <w:pPr>
        <w:spacing w:after="60" w:before="60" w:line="260"/>
        <w:ind w:left="720" w:hanging="720"/>
      </w:pPr>
      <w:r>
        <w:rPr>
          <w:rFonts w:ascii="Arial" w:cs="Arial" w:eastAsia="Arial" w:hAnsi="Arial"/>
          <w:color w:val="1A1A1A"/>
          <w:sz w:val="18"/>
          <w:szCs w:val="18"/>
        </w:rPr>
        <w:t xml:space="preserve">Terranova, C., Cestonaro, C., Fava, L., &amp; Cinquetti, A. (2024). AI and professional liability assessment in healthcare: A revolution in legal medicine? Frontiers in Medicine, 10, 1337335. https://doi.org/10.3389/fmed.2023.1337335</w:t>
      </w:r>
    </w:p>
    <w:p>
      <w:pPr>
        <w:pBdr>
          <w:bottom w:val="single" w:color="CCCCCC" w:sz="4"/>
        </w:pBdr>
        <w:spacing w:after="200" w:before="200"/>
      </w:pPr>
    </w:p>
    <w:p>
      <w:pPr>
        <w:pStyle w:val="Heading1"/>
        <w:spacing w:after="160" w:before="320"/>
      </w:pPr>
      <w:r>
        <w:rPr>
          <w:rFonts w:ascii="Arial" w:cs="Arial" w:eastAsia="Arial" w:hAnsi="Arial"/>
          <w:b/>
          <w:bCs/>
          <w:color w:val="2E5F8A"/>
          <w:sz w:val="28"/>
          <w:szCs w:val="28"/>
        </w:rPr>
        <w:t xml:space="preserve">4. Notas importantes</w:t>
      </w:r>
    </w:p>
    <w:p>
      <w:pPr>
        <w:spacing w:after="80" w:before="80" w:line="276"/>
        <w:jc w:val="both"/>
      </w:pPr>
      <w:r>
        <w:rPr>
          <w:rFonts w:ascii="Arial" w:cs="Arial" w:eastAsia="Arial" w:hAnsi="Arial"/>
          <w:b/>
          <w:bCs/>
          <w:color w:val="1A1A1A"/>
          <w:sz w:val="20"/>
          <w:szCs w:val="20"/>
        </w:rPr>
        <w:t xml:space="preserve">Sobre las fuentes web: </w:t>
      </w:r>
      <w:r>
        <w:rPr>
          <w:rFonts w:ascii="Arial" w:cs="Arial" w:eastAsia="Arial" w:hAnsi="Arial"/>
          <w:color w:val="1A1A1A"/>
          <w:sz w:val="20"/>
          <w:szCs w:val="20"/>
        </w:rPr>
        <w:t xml:space="preserve">En APA 7, las fuentes de sitios web institucionales o corporativos son válidas como referencias cuando no existe un artículo académico equivalente. Para estas plataformas (Eve, DigitalOwl, Legalify, etc.) no existen artículos científicos indexados que las describan, por lo que la cita directa al sitio oficial es la práctica correcta.</w:t>
      </w:r>
    </w:p>
    <w:p>
      <w:pPr>
        <w:spacing w:after="80" w:before="80" w:line="276"/>
        <w:jc w:val="both"/>
      </w:pPr>
      <w:r>
        <w:rPr>
          <w:rFonts w:ascii="Arial" w:cs="Arial" w:eastAsia="Arial" w:hAnsi="Arial"/>
          <w:b/>
          <w:bCs/>
          <w:color w:val="1A1A1A"/>
          <w:sz w:val="20"/>
          <w:szCs w:val="20"/>
        </w:rPr>
        <w:t xml:space="preserve">Sobre el short paper IEEE: </w:t>
      </w:r>
      <w:r>
        <w:rPr>
          <w:rFonts w:ascii="Arial" w:cs="Arial" w:eastAsia="Arial" w:hAnsi="Arial"/>
          <w:color w:val="1A1A1A"/>
          <w:sz w:val="20"/>
          <w:szCs w:val="20"/>
        </w:rPr>
        <w:t xml:space="preserve">En el paper final en formato IEEE, las referencias deben convertirse al estilo numérico IEEE (no APA). El texto mantiene la misma información pero las citas se expresan como [N]. Los textos aquí presentados usan APA 7 para compatibilidad con la Memoria TDP.</w:t>
      </w:r>
    </w:p>
    <w:p>
      <w:pPr>
        <w:spacing w:after="80" w:before="80" w:line="276"/>
        <w:jc w:val="both"/>
      </w:pPr>
      <w:r>
        <w:rPr>
          <w:rFonts w:ascii="Arial" w:cs="Arial" w:eastAsia="Arial" w:hAnsi="Arial"/>
          <w:b/>
          <w:bCs/>
          <w:color w:val="1A1A1A"/>
          <w:sz w:val="20"/>
          <w:szCs w:val="20"/>
        </w:rPr>
        <w:t xml:space="preserve">Limitación a reconocer: </w:t>
      </w:r>
      <w:r>
        <w:rPr>
          <w:rFonts w:ascii="Arial" w:cs="Arial" w:eastAsia="Arial" w:hAnsi="Arial"/>
          <w:color w:val="1A1A1A"/>
          <w:sz w:val="20"/>
          <w:szCs w:val="20"/>
        </w:rPr>
        <w:t xml:space="preserve">Estas plataformas son fuentes primarias de tipo sitio web, no artículos Q1/Q2. Para el Estado del Arte de la Memoria TDP esto es aceptable como antecedente tecnológico. Para el short paper IEEE, se recomienda priorizar las referencias Lawton (2024) y Terranova (2024) que están en revistas indexadas, y usar las plataformas como evidencia de la brecha práctica, no como literatura científica principal.</w:t>
      </w:r>
    </w:p>
    <w:p>
      <w:pPr>
        <w:spacing w:before="4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2026-06-07T18:15:13.652Z</dcterms:created>
  <dcterms:modified xsi:type="dcterms:W3CDTF">2026-06-07T18:15:13.652Z</dcterms:modified>
</cp:coreProperties>
</file>

<file path=docProps/custom.xml><?xml version="1.0" encoding="utf-8"?>
<Properties xmlns="http://schemas.openxmlformats.org/officeDocument/2006/custom-properties" xmlns:vt="http://schemas.openxmlformats.org/officeDocument/2006/docPropsVTypes"/>
</file>