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Sinapsistencia: A Web Platform for Medical-Legal Mediation with Explainable Machine Learning in the Peruvian Health Sector</w:t>
      </w:r>
    </w:p>
    <w:p>
      <w:pPr>
        <w:spacing w:after="80"/>
        <w:jc w:val="center"/>
      </w:pPr>
      <w:r>
        <w:rPr>
          <w:rFonts w:ascii="Times New Roman" w:hAnsi="Times New Roman"/>
          <w:b w:val="0"/>
          <w:i w:val="0"/>
          <w:sz w:val="20"/>
        </w:rPr>
        <w:t>Augusto Mathias Leonardo Vasquez Requejo¹ᵃ, Renato German Reyes Valenzuela¹ᵇ</w:t>
      </w:r>
    </w:p>
    <w:p>
      <w:pPr>
        <w:spacing w:after="40"/>
        <w:jc w:val="center"/>
      </w:pPr>
      <w:r>
        <w:rPr>
          <w:rFonts w:ascii="Times New Roman" w:hAnsi="Times New Roman"/>
          <w:b w:val="0"/>
          <w:i w:val="0"/>
          <w:sz w:val="20"/>
        </w:rPr>
        <w:t>¹School of Systems and Computer Engineering, Peruvian University of Applied Sciences, 2390 Primavera Avenue, Lima, Peru</w:t>
      </w:r>
    </w:p>
    <w:p>
      <w:pPr>
        <w:spacing w:after="160"/>
        <w:jc w:val="center"/>
      </w:pPr>
      <w:r>
        <w:rPr>
          <w:rFonts w:ascii="Times New Roman" w:hAnsi="Times New Roman"/>
          <w:b w:val="0"/>
          <w:i w:val="0"/>
          <w:sz w:val="20"/>
        </w:rPr>
        <w:t>u20221a955@upc.edu.pe, u20221b471@upc.edu.pe</w:t>
      </w:r>
    </w:p>
    <w:p>
      <w:pPr>
        <w:spacing w:after="160"/>
      </w:pPr>
      <w:r>
        <w:rPr>
          <w:rFonts w:ascii="Times New Roman" w:hAnsi="Times New Roman"/>
          <w:b/>
          <w:i w:val="0"/>
          <w:sz w:val="20"/>
        </w:rPr>
        <w:t>Keywords: Medical-Legal Mediation, Machine Learning, Explainable AI, Random Forest, TF-IDF, Health Informatics.</w:t>
      </w:r>
    </w:p>
    <w:p>
      <w:pPr>
        <w:spacing w:after="80"/>
      </w:pPr>
      <w:r>
        <w:rPr>
          <w:rFonts w:ascii="Times New Roman" w:hAnsi="Times New Roman"/>
          <w:b/>
          <w:i w:val="0"/>
          <w:sz w:val="20"/>
        </w:rPr>
        <w:t>Abstract:</w:t>
      </w:r>
    </w:p>
    <w:p>
      <w:pPr>
        <w:spacing w:after="200"/>
      </w:pPr>
      <w:r>
        <w:rPr>
          <w:rFonts w:ascii="Times New Roman" w:hAnsi="Times New Roman"/>
          <w:b w:val="0"/>
          <w:i w:val="0"/>
          <w:sz w:val="20"/>
        </w:rPr>
        <w:t>Healthcare professionals in Peru face growing exposure to medical malpractice claims and often lack structured, timely access to specialized legal advice. Informal channels delay case management and reduce traceability. This study presents Sinapsistencia, a web platform that connects physicians with medical-law attorneys through a microservices architecture (Angular 21, Spring Boot 3.5, PostgreSQL, and a FastAPI machine learning service). The system supports medical-legal case registration with simulated clinical context compliant with Peruvian data protection law (Law 29733), document traceability, role-based dashboards, and two explainable ML components: a Random Forest model for legal risk assessment and a TF-IDF cosine-similarity matcher for attorney recommendation. The risk model was trained on 6,000 synthetic cases using a rule-based label generator and achieved macro precision of 0.618, recall of 0.597, and F1-score of 0.603 on a held-out validation set. Functional validation included five automated integration test suites and incremental execution of acceptance scenarios. Average inference latency for risk assessment remained below 200 ms in local experiments. Results indicate that a hybrid ML approach with explicit XAI factors and cold-start fallbacks is feasible for academic MVP validation in a sensitive domain where AI must act as decision support rather than autonomous judgment.</w:t>
      </w:r>
    </w:p>
    <w:p>
      <w:pPr>
        <w:spacing w:before="200" w:after="120"/>
      </w:pPr>
      <w:r>
        <w:rPr>
          <w:rFonts w:ascii="Times New Roman" w:hAnsi="Times New Roman"/>
          <w:b/>
          <w:i w:val="0"/>
          <w:sz w:val="22"/>
        </w:rPr>
        <w:t>1 INTRODUCTION</w:t>
      </w:r>
    </w:p>
    <w:p>
      <w:pPr>
        <w:spacing w:after="120"/>
      </w:pPr>
      <w:r>
        <w:rPr>
          <w:rFonts w:ascii="Times New Roman" w:hAnsi="Times New Roman"/>
          <w:b w:val="0"/>
          <w:i w:val="0"/>
          <w:sz w:val="20"/>
        </w:rPr>
        <w:t>Medical malpractice and negligence disputes in Peru are increasingly visible through institutional supervision and patient advocacy channels. SUSALUD reported more than 163,000 health-rights attentions in 2024 alone, reflecting sustained demand for formal recourse mechanisms. Physicians, however, frequently rely on informal networks to obtain legal orientation, with estimated response delays of 48 to 72 hours and limited audit trails (Miziara &amp; Miziara, 2022; Tumelty, 2023).</w:t>
      </w:r>
    </w:p>
    <w:p>
      <w:pPr>
        <w:spacing w:after="120"/>
      </w:pPr>
      <w:r>
        <w:rPr>
          <w:rFonts w:ascii="Times New Roman" w:hAnsi="Times New Roman"/>
          <w:b w:val="0"/>
          <w:i w:val="0"/>
          <w:sz w:val="20"/>
        </w:rPr>
        <w:t>This problem is relevant because delayed legal guidance increases professional vulnerability, encourages defensive medicine, and hampers early case structuring (Gunenc et al., 2024; Rowland et al., 2022). Digital platforms could improve mediation, yet naive approaches fail for three reasons: (i) medical-legal data are sensitive and regulated; (ii) black-box recommendations are ethically unacceptable in liability contexts (Jones et al., 2023; Scott et al., 2024); and (iii) cold-start conditions limit collaborative filtering when historical attorney-case data are scarce.</w:t>
      </w:r>
    </w:p>
    <w:p>
      <w:pPr>
        <w:spacing w:after="120"/>
      </w:pPr>
      <w:r>
        <w:rPr>
          <w:rFonts w:ascii="Times New Roman" w:hAnsi="Times New Roman"/>
          <w:b w:val="0"/>
          <w:i w:val="0"/>
          <w:sz w:val="20"/>
        </w:rPr>
        <w:t>Prior solutions address fragments of the problem—electronic records, generic legal marketplaces, or clinical decision support—but not integrated physician-to-attorney mediation with explainable prioritization under role-based governance. Sinapsistencia differs by combining (1) simulated non-identifiable case context, (2) microservice separation of ML inference, (3) persisted XAI explanations, and (4) specialty-based fallback matching when the ML service is offline.</w:t>
      </w:r>
    </w:p>
    <w:p>
      <w:pPr>
        <w:spacing w:after="120"/>
      </w:pPr>
      <w:r>
        <w:rPr>
          <w:rFonts w:ascii="Times New Roman" w:hAnsi="Times New Roman"/>
          <w:b w:val="0"/>
          <w:i w:val="0"/>
          <w:sz w:val="20"/>
        </w:rPr>
        <w:t>The key components of our approach are: a three-portal web application (physician, attorney, administrator); a Spring Boot API with ownership enforcement replacing database-level RLS; a FastAPI service implementing Random Forest risk scoring and TF-IDF attorney ranking; and an audit trail for critical actions. Current limitations include synthetic training data, pilot validation without real patient records, and pending large-scale functional test execution against a 90-case academic test plan.</w:t>
      </w:r>
    </w:p>
    <w:p>
      <w:pPr>
        <w:spacing w:after="120"/>
      </w:pPr>
      <w:r>
        <w:rPr>
          <w:rFonts w:ascii="Times New Roman" w:hAnsi="Times New Roman"/>
          <w:b w:val="0"/>
          <w:i w:val="0"/>
          <w:sz w:val="20"/>
        </w:rPr>
        <w:t>The remainder of this paper is organized as follows: Section 2 reviews related work; Section 3 describes the proposed architecture and algorithms; Section 4 explains the validation methodology; Section 5 presents results; and Section 6 concludes with future work.</w:t>
      </w:r>
    </w:p>
    <w:p>
      <w:pPr>
        <w:spacing w:before="200" w:after="120"/>
      </w:pPr>
      <w:r>
        <w:rPr>
          <w:rFonts w:ascii="Times New Roman" w:hAnsi="Times New Roman"/>
          <w:b/>
          <w:i w:val="0"/>
          <w:sz w:val="22"/>
        </w:rPr>
        <w:t>2 RELATED WORKS</w:t>
      </w:r>
    </w:p>
    <w:p>
      <w:pPr>
        <w:spacing w:after="120"/>
      </w:pPr>
      <w:r>
        <w:rPr>
          <w:rFonts w:ascii="Times New Roman" w:hAnsi="Times New Roman"/>
          <w:b w:val="0"/>
          <w:i w:val="0"/>
          <w:sz w:val="20"/>
        </w:rPr>
        <w:t>Research on medical-legal risk, AI-assisted decision support, and recommender systems provides the foundation for Sinapsistencia. We group prior efforts into three lines.</w:t>
      </w:r>
    </w:p>
    <w:p>
      <w:pPr>
        <w:spacing w:after="40"/>
      </w:pPr>
      <w:r>
        <w:rPr>
          <w:rFonts w:ascii="Times New Roman" w:hAnsi="Times New Roman"/>
          <w:b/>
          <w:i w:val="0"/>
          <w:sz w:val="20"/>
        </w:rPr>
        <w:t>Medical negligence and digital liability.</w:t>
      </w:r>
    </w:p>
    <w:p>
      <w:pPr>
        <w:spacing w:after="120"/>
      </w:pPr>
      <w:r>
        <w:rPr>
          <w:rFonts w:ascii="Times New Roman" w:hAnsi="Times New Roman"/>
          <w:b w:val="0"/>
          <w:i w:val="0"/>
          <w:sz w:val="20"/>
        </w:rPr>
        <w:t>Miziara and Miziara (2022) review medical errors, negligence, and defensive medicine, highlighting documentation and communication as recurring failure points. Rowland et al. (2022) analyze digital health-specific malpractice risks, emphasizing traceability and accountability. Wong et al. (2021) examine emergency department claims, showing that procedural and documentation issues dominate litigation patterns. These studies justify structured case intake and document versioning but do not provide integrated mediation workflows between clinicians and attorneys.</w:t>
      </w:r>
    </w:p>
    <w:p>
      <w:pPr>
        <w:spacing w:after="40"/>
      </w:pPr>
      <w:r>
        <w:rPr>
          <w:rFonts w:ascii="Times New Roman" w:hAnsi="Times New Roman"/>
          <w:b/>
          <w:i w:val="0"/>
          <w:sz w:val="20"/>
        </w:rPr>
        <w:t>Trustworthy AI in clinical and legal contexts.</w:t>
      </w:r>
    </w:p>
    <w:p>
      <w:pPr>
        <w:spacing w:after="120"/>
      </w:pPr>
      <w:r>
        <w:rPr>
          <w:rFonts w:ascii="Times New Roman" w:hAnsi="Times New Roman"/>
          <w:b w:val="0"/>
          <w:i w:val="0"/>
          <w:sz w:val="20"/>
        </w:rPr>
        <w:t>Jones et al. (2023) report clinicians' concerns about trust and liability when using AI decision support. Wang et al. (2023) systematically review human-centered design for AI-enabled clinical systems, recommending transparency and explicit limitations. Scott et al. (2024) further note adoption barriers when explanations are absent. Our platform addresses this gap by persisting risk factors derived from feature importance and by displaying non-deterministic advisory messages in the user interface.</w:t>
      </w:r>
    </w:p>
    <w:p>
      <w:pPr>
        <w:spacing w:after="40"/>
      </w:pPr>
      <w:r>
        <w:rPr>
          <w:rFonts w:ascii="Times New Roman" w:hAnsi="Times New Roman"/>
          <w:b/>
          <w:i w:val="0"/>
          <w:sz w:val="20"/>
        </w:rPr>
        <w:t>Matching and risk modeling techniques.</w:t>
      </w:r>
    </w:p>
    <w:p>
      <w:pPr>
        <w:spacing w:after="120"/>
      </w:pPr>
      <w:r>
        <w:rPr>
          <w:rFonts w:ascii="Times New Roman" w:hAnsi="Times New Roman"/>
          <w:b w:val="0"/>
          <w:i w:val="0"/>
          <w:sz w:val="20"/>
        </w:rPr>
        <w:t>Manning et al. (2008) and Ricci et al. (2015) establish TF-IDF and content-based recommendation as effective cold-start strategies—relevant for attorney matching without dense interaction logs. Random Forest classifiers remain a robust baseline for tabular risk scoring with interpretable feature contributions (Aggarwal, 2016). Unlike prior legal-tech marketplaces, Sinapsistencia couples both techniques in a health-specific workflow with simulated data aligned to Peruvian privacy constraints (Congreso de la República del Perú, 2011).</w:t>
      </w:r>
    </w:p>
    <w:p>
      <w:pPr>
        <w:spacing w:before="200" w:after="120"/>
      </w:pPr>
      <w:r>
        <w:rPr>
          <w:rFonts w:ascii="Times New Roman" w:hAnsi="Times New Roman"/>
          <w:b/>
          <w:i w:val="0"/>
          <w:sz w:val="22"/>
        </w:rPr>
        <w:t>3 PROPOSED SOLUTION</w:t>
      </w:r>
    </w:p>
    <w:p>
      <w:pPr>
        <w:spacing w:after="120"/>
      </w:pPr>
      <w:r>
        <w:rPr>
          <w:rFonts w:ascii="Times New Roman" w:hAnsi="Times New Roman"/>
          <w:b w:val="0"/>
          <w:i w:val="0"/>
          <w:sz w:val="20"/>
        </w:rPr>
        <w:t>Sinapsistencia follows a decoupled microservices architecture. The Angular 21 frontend consumes REST APIs from a Spring Boot 3.5 backend (Java 21) secured with JWT and role-based access control. PostgreSQL 16 stores operational data and Flyway migrations version the schema. A dedicated FastAPI service hosts ML models, invoked by the backend through an HTTP proxy with a 5-second timeout and graceful degradation.</w:t>
      </w:r>
    </w:p>
    <w:p>
      <w:pPr>
        <w:spacing w:after="40"/>
      </w:pPr>
      <w:r>
        <w:rPr>
          <w:rFonts w:ascii="Times New Roman" w:hAnsi="Times New Roman"/>
          <w:b/>
          <w:i w:val="0"/>
          <w:sz w:val="20"/>
        </w:rPr>
        <w:t>3.1 System Architecture</w:t>
      </w:r>
    </w:p>
    <w:p>
      <w:pPr>
        <w:spacing w:after="120"/>
      </w:pPr>
      <w:r>
        <w:rPr>
          <w:rFonts w:ascii="Times New Roman" w:hAnsi="Times New Roman"/>
          <w:b w:val="0"/>
          <w:i w:val="0"/>
          <w:sz w:val="20"/>
        </w:rPr>
        <w:t>The physician portal supports case creation with simulated legal-clinical context (reference age, medical area, summary, relevant factors) without identifiable patient data. The attorney portal lists relevant pending cases and contact requests. The administrator portal manages users, audit logs, ML metrics, and summary reports. Ownership rules ensure that physicians cannot access peers' cases—enforced in the service layer and validated by automated integration tests.</w:t>
      </w:r>
    </w:p>
    <w:p>
      <w:pPr>
        <w:spacing w:after="40"/>
      </w:pPr>
      <w:r>
        <w:rPr>
          <w:rFonts w:ascii="Times New Roman" w:hAnsi="Times New Roman"/>
          <w:b/>
          <w:i w:val="0"/>
          <w:sz w:val="20"/>
        </w:rPr>
        <w:t>3.2 Risk Assessment Model (Random Forest)</w:t>
      </w:r>
    </w:p>
    <w:p>
      <w:pPr>
        <w:spacing w:after="120"/>
      </w:pPr>
      <w:r>
        <w:rPr>
          <w:rFonts w:ascii="Times New Roman" w:hAnsi="Times New Roman"/>
          <w:b w:val="0"/>
          <w:i w:val="0"/>
          <w:sz w:val="20"/>
        </w:rPr>
        <w:t>The risk module predicts risk_score (0–1) and risk_level (bajo, moderado, alto, critico) from structured features: medical specialty, procedure complexity, priority, documentation completeness, informed consent, prior complaints, and days since incident. Training data comprise 6,000 synthetic rows generated by business rules plus Gaussian noise to avoid trivial memorization. A RandomForestClassifier (200 trees) and RandomForestRegressor share the same preprocessed feature space (one-hot specialty, ordinal complexity/priority). Explainability combines global feature importance with normalized case-specific values to produce risk_factors shown to users as advisory context.</w:t>
      </w:r>
    </w:p>
    <w:p>
      <w:pPr>
        <w:spacing w:after="40"/>
      </w:pPr>
      <w:r>
        <w:rPr>
          <w:rFonts w:ascii="Times New Roman" w:hAnsi="Times New Roman"/>
          <w:b/>
          <w:i w:val="0"/>
          <w:sz w:val="20"/>
        </w:rPr>
        <w:t>3.3 Attorney Matching (TF-IDF + Cosine Similarity)</w:t>
      </w:r>
    </w:p>
    <w:p>
      <w:pPr>
        <w:spacing w:after="120"/>
      </w:pPr>
      <w:r>
        <w:rPr>
          <w:rFonts w:ascii="Times New Roman" w:hAnsi="Times New Roman"/>
          <w:b w:val="0"/>
          <w:i w:val="0"/>
          <w:sz w:val="20"/>
        </w:rPr>
        <w:t>Attorney profiles are vectorized with TfidfVectorizer over legal specialties, medical areas of interest, and biographical text. Physician queries built from specialty and case context are compared via cosine similarity. Results include content_score, matched specialties, and natural-language reasons. When the ML service is unavailable, the backend applies a cold-start fallback ranking attorneys by medical-area overlap.</w:t>
      </w:r>
    </w:p>
    <w:p>
      <w:pPr>
        <w:spacing w:after="40"/>
      </w:pPr>
      <w:r>
        <w:rPr>
          <w:rFonts w:ascii="Times New Roman" w:hAnsi="Times New Roman"/>
          <w:b/>
          <w:i w:val="0"/>
          <w:sz w:val="20"/>
        </w:rPr>
        <w:t>3.4 API Contract</w:t>
      </w:r>
    </w:p>
    <w:p>
      <w:pPr>
        <w:spacing w:after="120"/>
      </w:pPr>
      <w:r>
        <w:rPr>
          <w:rFonts w:ascii="Times New Roman" w:hAnsi="Times New Roman"/>
          <w:b w:val="0"/>
          <w:i w:val="0"/>
          <w:sz w:val="20"/>
        </w:rPr>
        <w:t>FastAPI exposes GET /health, GET /api/v1/model/info, POST /api/v1/risk-assessment, and POST /api/v1/recommendations. Spring Boot proxies these endpoints and normalizes responses to camelCase for the frontend. High/critical risk levels trigger optional fire-and-forget notifications to an external automation webhook.</w:t>
      </w:r>
    </w:p>
    <w:p>
      <w:pPr>
        <w:spacing w:before="200" w:after="120"/>
      </w:pPr>
      <w:r>
        <w:rPr>
          <w:rFonts w:ascii="Times New Roman" w:hAnsi="Times New Roman"/>
          <w:b/>
          <w:i w:val="0"/>
          <w:sz w:val="22"/>
        </w:rPr>
        <w:t>4 EXPERIMENTS AND VALIDATION</w:t>
      </w:r>
    </w:p>
    <w:p>
      <w:pPr>
        <w:spacing w:after="120"/>
      </w:pPr>
      <w:r>
        <w:rPr>
          <w:rFonts w:ascii="Times New Roman" w:hAnsi="Times New Roman"/>
          <w:b w:val="0"/>
          <w:i w:val="0"/>
          <w:sz w:val="20"/>
        </w:rPr>
        <w:t>Validation followed four tracks aligned with the project quality plan: (1) ML offline evaluation, (2) backend integration testing, (3) frontend build verification, and (4) incremental functional scenarios from the academic test catalog.</w:t>
      </w:r>
    </w:p>
    <w:p>
      <w:pPr>
        <w:spacing w:after="40"/>
      </w:pPr>
      <w:r>
        <w:rPr>
          <w:rFonts w:ascii="Times New Roman" w:hAnsi="Times New Roman"/>
          <w:b/>
          <w:i w:val="0"/>
          <w:sz w:val="20"/>
        </w:rPr>
        <w:t>4.1 Experimental Protocol for ML</w:t>
      </w:r>
    </w:p>
    <w:p>
      <w:pPr>
        <w:spacing w:after="120"/>
      </w:pPr>
      <w:r>
        <w:rPr>
          <w:rFonts w:ascii="Times New Roman" w:hAnsi="Times New Roman"/>
          <w:b w:val="0"/>
          <w:i w:val="0"/>
          <w:sz w:val="20"/>
        </w:rPr>
        <w:t>The synthetic dataset was split 80/20 with stratification on risk_level. Metrics reported on the test partition. Matching was evaluated qualitatively on demo scenarios with a corpus of eight seeded attorney profiles aligned to database identifiers. All experiments ran on a development workstation with Python 3.12, scikit-learn 1.5.2, and FastAPI 0.115.0.</w:t>
      </w:r>
    </w:p>
    <w:p>
      <w:pPr>
        <w:spacing w:after="40"/>
      </w:pPr>
      <w:r>
        <w:rPr>
          <w:rFonts w:ascii="Times New Roman" w:hAnsi="Times New Roman"/>
          <w:b/>
          <w:i w:val="0"/>
          <w:sz w:val="20"/>
        </w:rPr>
        <w:t>4.2 Software Integration Tests</w:t>
      </w:r>
    </w:p>
    <w:p>
      <w:pPr>
        <w:spacing w:after="120"/>
      </w:pPr>
      <w:r>
        <w:rPr>
          <w:rFonts w:ascii="Times New Roman" w:hAnsi="Times New Roman"/>
          <w:b w:val="0"/>
          <w:i w:val="0"/>
          <w:sz w:val="20"/>
        </w:rPr>
        <w:t>Five JUnit suites executed against Testcontainers PostgreSQL: application context load, ownership enforcement, case sub-resources (timeline and legal responses), feature flows (password change, status transitions, admin reports), and document upload/download. Frontend production build (ng build) verified compile-time integrity of physician, attorney, and admin portals.</w:t>
      </w:r>
    </w:p>
    <w:p>
      <w:pPr>
        <w:spacing w:before="200" w:after="120"/>
      </w:pPr>
      <w:r>
        <w:rPr>
          <w:rFonts w:ascii="Times New Roman" w:hAnsi="Times New Roman"/>
          <w:b/>
          <w:i w:val="0"/>
          <w:sz w:val="22"/>
        </w:rPr>
        <w:t>5 RESULTS</w:t>
      </w:r>
    </w:p>
    <w:p>
      <w:pPr>
        <w:spacing w:after="40"/>
      </w:pPr>
      <w:r>
        <w:rPr>
          <w:rFonts w:ascii="Times New Roman" w:hAnsi="Times New Roman"/>
          <w:b/>
          <w:i w:val="0"/>
          <w:sz w:val="20"/>
        </w:rPr>
        <w:t>5.1 Quantitative Results</w:t>
      </w:r>
    </w:p>
    <w:p>
      <w:pPr>
        <w:spacing w:after="80"/>
      </w:pPr>
      <w:r>
        <w:rPr>
          <w:rFonts w:ascii="Times New Roman" w:hAnsi="Times New Roman"/>
          <w:b w:val="0"/>
          <w:i w:val="0"/>
          <w:sz w:val="20"/>
        </w:rPr>
        <w:t>Table 1 summarizes Random Forest performance on the held-out test set (model version rf-v1).</w:t>
      </w:r>
    </w:p>
    <w:tbl>
      <w:tblPr>
        <w:tblStyle w:val="TableGrid"/>
        <w:tblW w:type="auto" w:w="0"/>
        <w:tblLook w:firstColumn="1" w:firstRow="1" w:lastColumn="0" w:lastRow="0" w:noHBand="0" w:noVBand="1" w:val="04A0"/>
      </w:tblPr>
      <w:tblGrid>
        <w:gridCol w:w="4896"/>
        <w:gridCol w:w="4896"/>
      </w:tblGrid>
      <w:tr>
        <w:tc>
          <w:tcPr>
            <w:tcW w:type="dxa" w:w="4896"/>
          </w:tcPr>
          <w:p>
            <w:r>
              <w:rPr>
                <w:rFonts w:ascii="Times New Roman" w:hAnsi="Times New Roman"/>
                <w:b/>
                <w:i w:val="0"/>
                <w:sz w:val="20"/>
              </w:rPr>
              <w:t>Metric</w:t>
            </w:r>
          </w:p>
        </w:tc>
        <w:tc>
          <w:tcPr>
            <w:tcW w:type="dxa" w:w="4896"/>
          </w:tcPr>
          <w:p>
            <w:r>
              <w:rPr>
                <w:rFonts w:ascii="Times New Roman" w:hAnsi="Times New Roman"/>
                <w:b/>
                <w:i w:val="0"/>
                <w:sz w:val="20"/>
              </w:rPr>
              <w:t>Value</w:t>
            </w:r>
          </w:p>
        </w:tc>
      </w:tr>
      <w:tr>
        <w:tc>
          <w:tcPr>
            <w:tcW w:type="dxa" w:w="4896"/>
          </w:tcPr>
          <w:p>
            <w:r>
              <w:t>Precision (macro)</w:t>
            </w:r>
          </w:p>
        </w:tc>
        <w:tc>
          <w:tcPr>
            <w:tcW w:type="dxa" w:w="4896"/>
          </w:tcPr>
          <w:p>
            <w:r>
              <w:t>0.6179</w:t>
            </w:r>
          </w:p>
        </w:tc>
      </w:tr>
      <w:tr>
        <w:tc>
          <w:tcPr>
            <w:tcW w:type="dxa" w:w="4896"/>
          </w:tcPr>
          <w:p>
            <w:r>
              <w:t>Recall (macro)</w:t>
            </w:r>
          </w:p>
        </w:tc>
        <w:tc>
          <w:tcPr>
            <w:tcW w:type="dxa" w:w="4896"/>
          </w:tcPr>
          <w:p>
            <w:r>
              <w:t>0.5973</w:t>
            </w:r>
          </w:p>
        </w:tc>
      </w:tr>
      <w:tr>
        <w:tc>
          <w:tcPr>
            <w:tcW w:type="dxa" w:w="4896"/>
          </w:tcPr>
          <w:p>
            <w:r>
              <w:t>F1-score (macro)</w:t>
            </w:r>
          </w:p>
        </w:tc>
        <w:tc>
          <w:tcPr>
            <w:tcW w:type="dxa" w:w="4896"/>
          </w:tcPr>
          <w:p>
            <w:r>
              <w:t>0.6034</w:t>
            </w:r>
          </w:p>
        </w:tc>
      </w:tr>
      <w:tr>
        <w:tc>
          <w:tcPr>
            <w:tcW w:type="dxa" w:w="4896"/>
          </w:tcPr>
          <w:p>
            <w:r>
              <w:t>Dataset size</w:t>
            </w:r>
          </w:p>
        </w:tc>
        <w:tc>
          <w:tcPr>
            <w:tcW w:type="dxa" w:w="4896"/>
          </w:tcPr>
          <w:p>
            <w:r>
              <w:t>6,000 synthetic cases</w:t>
            </w:r>
          </w:p>
        </w:tc>
      </w:tr>
      <w:tr>
        <w:tc>
          <w:tcPr>
            <w:tcW w:type="dxa" w:w="4896"/>
          </w:tcPr>
          <w:p>
            <w:r>
              <w:t>Mean inference latency (local)</w:t>
            </w:r>
          </w:p>
        </w:tc>
        <w:tc>
          <w:tcPr>
            <w:tcW w:type="dxa" w:w="4896"/>
          </w:tcPr>
          <w:p>
            <w:r>
              <w:t>~120 ms</w:t>
            </w:r>
          </w:p>
        </w:tc>
      </w:tr>
    </w:tbl>
    <w:p>
      <w:pPr>
        <w:spacing w:after="160"/>
      </w:pPr>
      <w:r>
        <w:rPr>
          <w:rFonts w:ascii="Times New Roman" w:hAnsi="Times New Roman"/>
          <w:b w:val="0"/>
          <w:i/>
          <w:sz w:val="20"/>
        </w:rPr>
        <w:t>Table 1: Risk classifier evaluation metrics.</w:t>
      </w:r>
    </w:p>
    <w:p>
      <w:pPr>
        <w:spacing w:after="120"/>
      </w:pPr>
      <w:r>
        <w:rPr>
          <w:rFonts w:ascii="Times New Roman" w:hAnsi="Times New Roman"/>
          <w:b w:val="0"/>
          <w:i w:val="0"/>
          <w:sz w:val="20"/>
        </w:rPr>
        <w:t>All five backend integration suites passed (100% success) with Docker-enabled PostgreSQL. Critical REST operations—including login, case creation, matching proxy, and admin summary—completed under 2 seconds in local measurements, meeting the OE3 response-time indicator for the MVP scope.</w:t>
      </w:r>
    </w:p>
    <w:p>
      <w:pPr>
        <w:spacing w:after="40"/>
      </w:pPr>
      <w:r>
        <w:rPr>
          <w:rFonts w:ascii="Times New Roman" w:hAnsi="Times New Roman"/>
          <w:b/>
          <w:i w:val="0"/>
          <w:sz w:val="20"/>
        </w:rPr>
        <w:t>5.2 Qualitative Results</w:t>
      </w:r>
    </w:p>
    <w:p>
      <w:pPr>
        <w:spacing w:after="120"/>
      </w:pPr>
      <w:r>
        <w:rPr>
          <w:rFonts w:ascii="Times New Roman" w:hAnsi="Times New Roman"/>
          <w:b w:val="0"/>
          <w:i w:val="0"/>
          <w:sz w:val="20"/>
        </w:rPr>
        <w:t>End-to-end demonstrations confirmed: (i) role-based navigation across three portals; (ii) case registration with simulated context; (iii) attorney recommendations with XAI reasons; (iv) persisted ML classifications retrievable from the API; and (v) visible AI advisory disclaimers. Attorneys received relevant unassigned cases filtered by declared medical areas. These observations support feasibility for academic pilot evaluation at Clínica SANNA "El Golf" using simulated scenarios only.</w:t>
      </w:r>
    </w:p>
    <w:p>
      <w:pPr>
        <w:spacing w:before="200" w:after="120"/>
      </w:pPr>
      <w:r>
        <w:rPr>
          <w:rFonts w:ascii="Times New Roman" w:hAnsi="Times New Roman"/>
          <w:b/>
          <w:i w:val="0"/>
          <w:sz w:val="22"/>
        </w:rPr>
        <w:t>6 CONCLUSIONS</w:t>
      </w:r>
    </w:p>
    <w:p>
      <w:pPr>
        <w:spacing w:after="120"/>
      </w:pPr>
      <w:r>
        <w:rPr>
          <w:rFonts w:ascii="Times New Roman" w:hAnsi="Times New Roman"/>
          <w:b w:val="0"/>
          <w:i w:val="0"/>
          <w:sz w:val="20"/>
        </w:rPr>
        <w:t>This paper presented Sinapsistencia, a medical-legal mediation platform that integrates structured workflows, auditability, and explainable machine learning for the Peruvian health context. The hybrid design—Random Forest for risk scoring and TF-IDF for attorney matching—addresses cold-start constraints while keeping inference latency suitable for interactive use.</w:t>
      </w:r>
    </w:p>
    <w:p>
      <w:pPr>
        <w:spacing w:after="120"/>
      </w:pPr>
      <w:r>
        <w:rPr>
          <w:rFonts w:ascii="Times New Roman" w:hAnsi="Times New Roman"/>
          <w:b w:val="0"/>
          <w:i w:val="0"/>
          <w:sz w:val="20"/>
        </w:rPr>
        <w:t>Results on synthetic data demonstrate moderate classification performance (F1 ≈ 0.60) and successful software integration across frontend, backend, database, and ML service layers. The system explicitly treats AI outputs as non-deterministic support, aligning with ethical requirements for liability-sensitive domains.</w:t>
      </w:r>
    </w:p>
    <w:p>
      <w:pPr>
        <w:spacing w:after="120"/>
      </w:pPr>
      <w:r>
        <w:rPr>
          <w:rFonts w:ascii="Times New Roman" w:hAnsi="Times New Roman"/>
          <w:b w:val="0"/>
          <w:i w:val="0"/>
          <w:sz w:val="20"/>
        </w:rPr>
        <w:t>Future work includes: (i) expanding the attorney corpus and real pilot feedback without identifiable patient data; (ii) quantitative matching evaluation toward a ≥70% top-3 relevance target; (iii) cloud deployment for demo environments; (iv) execution of the full 90-case functional test plan; and (v) usability assessment using the System Usability Scale in TP2.</w:t>
      </w:r>
    </w:p>
    <w:p>
      <w:pPr>
        <w:spacing w:before="200" w:after="120"/>
      </w:pPr>
      <w:r>
        <w:rPr>
          <w:rFonts w:ascii="Times New Roman" w:hAnsi="Times New Roman"/>
          <w:b/>
          <w:i w:val="0"/>
          <w:sz w:val="22"/>
        </w:rPr>
        <w:t>ACKNOWLEDGMENTS</w:t>
      </w:r>
    </w:p>
    <w:p>
      <w:pPr>
        <w:spacing w:after="120"/>
      </w:pPr>
      <w:r>
        <w:rPr>
          <w:rFonts w:ascii="Times New Roman" w:hAnsi="Times New Roman"/>
          <w:b w:val="0"/>
          <w:i w:val="0"/>
          <w:sz w:val="20"/>
        </w:rPr>
        <w:t>We thank the School of Systems and Computer Engineering at the Peruvian University of Applied Sciences for academic support; our advisors Jymmy Stuwart Dextre Alarcon and Jorge Enrique Polo Martinez for methodological guidance; and Clínica SANNA "El Golf" for institutional collaboration in the simulated validation context.</w:t>
      </w:r>
    </w:p>
    <w:p>
      <w:pPr>
        <w:spacing w:before="200" w:after="120"/>
      </w:pPr>
      <w:r>
        <w:rPr>
          <w:rFonts w:ascii="Times New Roman" w:hAnsi="Times New Roman"/>
          <w:b/>
          <w:i w:val="0"/>
          <w:sz w:val="22"/>
        </w:rPr>
        <w:t>REFERENCES</w:t>
      </w:r>
    </w:p>
    <w:p>
      <w:pPr>
        <w:spacing w:after="60"/>
        <w:ind w:left="360" w:hanging="360"/>
      </w:pPr>
      <w:r>
        <w:rPr>
          <w:rFonts w:ascii="Times New Roman" w:hAnsi="Times New Roman"/>
          <w:b w:val="0"/>
          <w:i w:val="0"/>
          <w:sz w:val="20"/>
        </w:rPr>
        <w:t>Aggarwal, C. C. (2016). Recommender systems: The textbook. Springer.</w:t>
      </w:r>
    </w:p>
    <w:p>
      <w:pPr>
        <w:spacing w:after="60"/>
        <w:ind w:left="360" w:hanging="360"/>
      </w:pPr>
      <w:r>
        <w:rPr>
          <w:rFonts w:ascii="Times New Roman" w:hAnsi="Times New Roman"/>
          <w:b w:val="0"/>
          <w:i w:val="0"/>
          <w:sz w:val="20"/>
        </w:rPr>
        <w:t>Congreso de la República del Perú. (2011). Ley N.º 29733, Ley de Protección de Datos Personales. El Peruano.</w:t>
      </w:r>
    </w:p>
    <w:p>
      <w:pPr>
        <w:spacing w:after="60"/>
        <w:ind w:left="360" w:hanging="360"/>
      </w:pPr>
      <w:r>
        <w:rPr>
          <w:rFonts w:ascii="Times New Roman" w:hAnsi="Times New Roman"/>
          <w:b w:val="0"/>
          <w:i w:val="0"/>
          <w:sz w:val="20"/>
        </w:rPr>
        <w:t>Gunenc, O., Kulhan, N. G., Bayman, M. G., Celik, C., Bilgi, A., Colluoglu, C., &amp; Kulhan, M. (2024). Medical malpractice stress syndrome and defensive medicine in obstetricians and gynecologists in Turkey. International Journal of Clinical Practice, 2024, Article 8226403. https://doi.org/10.1155/2024/8226403</w:t>
      </w:r>
    </w:p>
    <w:p>
      <w:pPr>
        <w:spacing w:after="60"/>
        <w:ind w:left="360" w:hanging="360"/>
      </w:pPr>
      <w:r>
        <w:rPr>
          <w:rFonts w:ascii="Times New Roman" w:hAnsi="Times New Roman"/>
          <w:b w:val="0"/>
          <w:i w:val="0"/>
          <w:sz w:val="20"/>
        </w:rPr>
        <w:t>Jones, C., Thornton, J., &amp; Wyatt, J. C. (2023). Artificial intelligence and clinical decision support: Clinicians' perspectives on trust, trustworthiness, and liability. Medical Law Review, 31(4), 501–520. https://doi.org/10.1093/medlaw/fwad013</w:t>
      </w:r>
    </w:p>
    <w:p>
      <w:pPr>
        <w:spacing w:after="60"/>
        <w:ind w:left="360" w:hanging="360"/>
      </w:pPr>
      <w:r>
        <w:rPr>
          <w:rFonts w:ascii="Times New Roman" w:hAnsi="Times New Roman"/>
          <w:b w:val="0"/>
          <w:i w:val="0"/>
          <w:sz w:val="20"/>
        </w:rPr>
        <w:t>Manning, C. D., Raghavan, P., &amp; Schütze, H. (2008). Introduction to information retrieval. Cambridge University Press.</w:t>
      </w:r>
    </w:p>
    <w:p>
      <w:pPr>
        <w:spacing w:after="60"/>
        <w:ind w:left="360" w:hanging="360"/>
      </w:pPr>
      <w:r>
        <w:rPr>
          <w:rFonts w:ascii="Times New Roman" w:hAnsi="Times New Roman"/>
          <w:b w:val="0"/>
          <w:i w:val="0"/>
          <w:sz w:val="20"/>
        </w:rPr>
        <w:t>Miziara, I. D., &amp; Miziara, C. S. M. G. (2022). Medical errors, medical negligence and defensive medicine: A narrative review. Clinics, 77, Article 100053. https://doi.org/10.1016/j.clinsp.2022.100053</w:t>
      </w:r>
    </w:p>
    <w:p>
      <w:pPr>
        <w:spacing w:after="60"/>
        <w:ind w:left="360" w:hanging="360"/>
      </w:pPr>
      <w:r>
        <w:rPr>
          <w:rFonts w:ascii="Times New Roman" w:hAnsi="Times New Roman"/>
          <w:b w:val="0"/>
          <w:i w:val="0"/>
          <w:sz w:val="20"/>
        </w:rPr>
        <w:t>Ricci, F., Rokach, L., &amp; Shapira, B. (2015). Recommender systems handbook (2nd ed.). Springer.</w:t>
      </w:r>
    </w:p>
    <w:p>
      <w:pPr>
        <w:spacing w:after="60"/>
        <w:ind w:left="360" w:hanging="360"/>
      </w:pPr>
      <w:r>
        <w:rPr>
          <w:rFonts w:ascii="Times New Roman" w:hAnsi="Times New Roman"/>
          <w:b w:val="0"/>
          <w:i w:val="0"/>
          <w:sz w:val="20"/>
        </w:rPr>
        <w:t>Rowland, S. P., Fitzgerald, J. E., Lungren, M., Lee, E. (H.), Harned, Z., &amp; McGregor, A. H. (2022). Digital health technology-specific risks for medical malpractice liability. NPJ Digital Medicine, 5, Article 157. https://doi.org/10.1038/s41746-022-00698-3</w:t>
      </w:r>
    </w:p>
    <w:p>
      <w:pPr>
        <w:spacing w:after="60"/>
        <w:ind w:left="360" w:hanging="360"/>
      </w:pPr>
      <w:r>
        <w:rPr>
          <w:rFonts w:ascii="Times New Roman" w:hAnsi="Times New Roman"/>
          <w:b w:val="0"/>
          <w:i w:val="0"/>
          <w:sz w:val="20"/>
        </w:rPr>
        <w:t>Scott, I. A., van der Vegt, A., Lane, P., McPhail, S., &amp; Magrabi, F. (2024). Achieving large-scale clinician adoption of AI-enabled decision support. BMJ Health &amp; Care Informatics, 31, Article e100971. https://doi.org/10.1136/bmjhci-2023-100971</w:t>
      </w:r>
    </w:p>
    <w:p>
      <w:pPr>
        <w:spacing w:after="60"/>
        <w:ind w:left="360" w:hanging="360"/>
      </w:pPr>
      <w:r>
        <w:rPr>
          <w:rFonts w:ascii="Times New Roman" w:hAnsi="Times New Roman"/>
          <w:b w:val="0"/>
          <w:i w:val="0"/>
          <w:sz w:val="20"/>
        </w:rPr>
        <w:t>Superintendencia Nacional de Salud. (2025). SUSALUD brindó más de 163 mil atenciones sobre derechos en salud durante el 2024. Gobierno del Perú.</w:t>
      </w:r>
    </w:p>
    <w:p>
      <w:pPr>
        <w:spacing w:after="60"/>
        <w:ind w:left="360" w:hanging="360"/>
      </w:pPr>
      <w:r>
        <w:rPr>
          <w:rFonts w:ascii="Times New Roman" w:hAnsi="Times New Roman"/>
          <w:b w:val="0"/>
          <w:i w:val="0"/>
          <w:sz w:val="20"/>
        </w:rPr>
        <w:t>Tumelty, M.-E. (2023). Plaintiff aims in medical negligence disputes: Limitations of an adversarial system. Medical Law Review, 31(2), 226–246. https://doi.org/10.1093/medlaw/fwac037</w:t>
      </w:r>
    </w:p>
    <w:p>
      <w:pPr>
        <w:spacing w:after="60"/>
        <w:ind w:left="360" w:hanging="360"/>
      </w:pPr>
      <w:r>
        <w:rPr>
          <w:rFonts w:ascii="Times New Roman" w:hAnsi="Times New Roman"/>
          <w:b w:val="0"/>
          <w:i w:val="0"/>
          <w:sz w:val="20"/>
        </w:rPr>
        <w:t>Wang, L., Zhang, Z., Wang, D., Cao, W., Zhou, X., Zhang, P., Liu, J., Fan, X., &amp; Tian, F. (2023). Human-centered design and evaluation of AI-empowered clinical decision support systems: A systematic review. Frontiers in Computer Science, 5, Article 1187299. https://doi.org/10.3389/fcomp.2023.1187299</w:t>
      </w:r>
    </w:p>
    <w:p>
      <w:pPr>
        <w:spacing w:after="60"/>
        <w:ind w:left="360" w:hanging="360"/>
      </w:pPr>
      <w:r>
        <w:rPr>
          <w:rFonts w:ascii="Times New Roman" w:hAnsi="Times New Roman"/>
          <w:b w:val="0"/>
          <w:i w:val="0"/>
          <w:sz w:val="20"/>
        </w:rPr>
        <w:t>Wong, K. E., Parikh, P. D., Miller, K. C., &amp; Zonfrillo, M. R. (2021). Emergency department and urgent care medical malpractice claims 2001–15. Western Journal of Emergency Medicine, 22(2), 333–338. https://doi.org/10.5811/westjem.2020.9.48845</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