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i/>
          <w:iCs/>
          <w:sz w:val="16"/>
          <w:szCs w:val="16"/>
        </w:rPr>
        <w:t xml:space="preserve">Proc. of the International Conference on Electrical, Computer, Communications and Mechatronics Engineering (ICECCME 2026)</w:t>
      </w:r>
    </w:p>
    <w:p>
      <w:pPr>
        <w:spacing w:after="220"/>
        <w:jc w:val="center"/>
      </w:pPr>
      <w:r>
        <w:rPr>
          <w:rFonts w:ascii="Times New Roman" w:cs="Times New Roman" w:eastAsia="Times New Roman" w:hAnsi="Times New Roman"/>
          <w:i/>
          <w:iCs/>
          <w:sz w:val="16"/>
          <w:szCs w:val="16"/>
        </w:rPr>
        <w:t xml:space="preserve">15–17 October 2026, Bali, Indonesia</w:t>
      </w:r>
    </w:p>
    <w:p>
      <w:pPr>
        <w:spacing w:after="200"/>
        <w:jc w:val="center"/>
      </w:pPr>
      <w:r>
        <w:rPr>
          <w:rFonts w:ascii="Times New Roman" w:cs="Times New Roman" w:eastAsia="Times New Roman" w:hAnsi="Times New Roman"/>
          <w:b/>
          <w:bCs/>
          <w:sz w:val="28"/>
          <w:szCs w:val="28"/>
        </w:rPr>
        <w:t xml:space="preserve">Sinapsistencia: An Explainable Machine Learning Web Platform for Optimizing Medical-Legal Advisory in the Peruvian Healthcare Sector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Augusto Mathias Leonardo Vásquez Requejo</w:t>
            </w:r>
          </w:p>
          <w:p>
            <w:pPr>
              <w:spacing w:after="0"/>
              <w:jc w:val="center"/>
            </w:pPr>
            <w:r>
              <w:rPr>
                <w:rFonts w:ascii="Times New Roman" w:cs="Times New Roman" w:eastAsia="Times New Roman" w:hAnsi="Times New Roman"/>
                <w:b w:val="false"/>
                <w:bCs w:val="false"/>
                <w:i w:val="false"/>
                <w:iCs w:val="false"/>
                <w:sz w:val="18"/>
                <w:szCs w:val="18"/>
              </w:rPr>
              <w:t xml:space="preserve">School of Systems and Computer Engineering</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Peru</w:t>
            </w:r>
          </w:p>
          <w:p>
            <w:pPr>
              <w:spacing w:after="0"/>
              <w:jc w:val="center"/>
            </w:pPr>
            <w:r>
              <w:rPr>
                <w:rFonts w:ascii="Times New Roman" w:cs="Times New Roman" w:eastAsia="Times New Roman" w:hAnsi="Times New Roman"/>
                <w:b w:val="false"/>
                <w:bCs w:val="false"/>
                <w:i w:val="false"/>
                <w:iCs w:val="false"/>
                <w:sz w:val="18"/>
                <w:szCs w:val="18"/>
              </w:rPr>
              <w:t xml:space="preserve">u20221a955@upc.edu.pe</w:t>
            </w:r>
          </w:p>
        </w:tc>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Renato Germán Reyes Valenzuela</w:t>
            </w:r>
          </w:p>
          <w:p>
            <w:pPr>
              <w:spacing w:after="0"/>
              <w:jc w:val="center"/>
            </w:pPr>
            <w:r>
              <w:rPr>
                <w:rFonts w:ascii="Times New Roman" w:cs="Times New Roman" w:eastAsia="Times New Roman" w:hAnsi="Times New Roman"/>
                <w:b w:val="false"/>
                <w:bCs w:val="false"/>
                <w:i w:val="false"/>
                <w:iCs w:val="false"/>
                <w:sz w:val="18"/>
                <w:szCs w:val="18"/>
              </w:rPr>
              <w:t xml:space="preserve">School of Systems and Computer Engineering</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Peru</w:t>
            </w:r>
          </w:p>
          <w:p>
            <w:pPr>
              <w:spacing w:after="0"/>
              <w:jc w:val="center"/>
            </w:pPr>
            <w:r>
              <w:rPr>
                <w:rFonts w:ascii="Times New Roman" w:cs="Times New Roman" w:eastAsia="Times New Roman" w:hAnsi="Times New Roman"/>
                <w:b w:val="false"/>
                <w:bCs w:val="false"/>
                <w:i w:val="false"/>
                <w:iCs w:val="false"/>
                <w:sz w:val="18"/>
                <w:szCs w:val="18"/>
              </w:rPr>
              <w:t xml:space="preserve">u20221b471@upc.edu.pe</w:t>
            </w:r>
          </w:p>
        </w:tc>
      </w:tr>
    </w:tbl>
    <w:p>
      <w:pPr>
        <w:spacing w:after="200"/>
      </w:pPr>
    </w:p>
    <w:p>
      <w:pPr>
        <w:sectPr>
          <w:pgSz w:w="12240" w:h="15840" w:orient="portrait"/>
          <w:pgMar w:top="1080" w:right="1080" w:bottom="1440" w:left="1080" w:header="708" w:footer="708" w:gutter="0"/>
          <w:pgNumType/>
          <w:cols w:num="1"/>
          <w:docGrid w:linePitch="360"/>
        </w:sectPr>
      </w:pPr>
    </w:p>
    <w:p>
      <w:pPr>
        <w:spacing w:after="120" w:line="232" w:lineRule="auto"/>
        <w:ind w:firstLine="23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i/>
          <w:iCs/>
          <w:sz w:val="19"/>
          <w:szCs w:val="19"/>
        </w:rPr>
        <w:t xml:space="preserve"> Healthcare professionals in Peru face growing exposure to malpractice claims and frequently lack structured, timely access to specialized legal advice, relying instead on informal channels with delays of up to 72 hours and little auditable traceability. This paper presents Sinapsistencia, a web platform that connects physicians with lawyers specialized in medical law through a microservice architecture and two explainable machine learning components: a random forest model that estimates the legal risk of each consultation, and a cosine-similarity technique over term-frequency vectors that recommends the most suitable lawyer for the case. The system records consultations using simulated clinical-legal context in accordance with Peruvian personal data protection regulations, and provides document traceability together with role-based dashboards. The risk model was trained on six thousand synthetic cases and reached a macro precision of 0.62, a macro recall of 0.60, and a macro F1-score of 0.60, with a mean inference latency below 200 milliseconds. Five automated integration test suites validated system behavior with a 100% success rate. The results confirm the technical feasibility of a hybrid, explainable approach to support, rather than replace, medical-legal decision-making in a domain that is highly sensitive to professional liability.</w:t>
      </w:r>
    </w:p>
    <w:p>
      <w:pPr>
        <w:spacing w:after="200"/>
        <w:ind w:firstLine="23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 Medical-legal advisory; explainable machine learning; random forests; information retrieval; health informatics; Peruvian healthcare sector.</w:t>
      </w:r>
    </w:p>
    <w:p>
      <w:pPr>
        <w:spacing w:after="140" w:before="220"/>
        <w:jc w:val="center"/>
      </w:pPr>
      <w:r>
        <w:rPr>
          <w:rFonts w:ascii="Times New Roman" w:cs="Times New Roman" w:eastAsia="Times New Roman" w:hAnsi="Times New Roman"/>
          <w:b/>
          <w:bCs/>
          <w:sz w:val="19"/>
          <w:szCs w:val="19"/>
        </w:rPr>
        <w:t xml:space="preserve">I. INTRODUCTION</w:t>
      </w:r>
    </w:p>
    <w:p>
      <w:pPr>
        <w:spacing w:after="120" w:line="232" w:lineRule="auto"/>
        <w:ind w:firstLine="230"/>
        <w:jc w:val="both"/>
      </w:pPr>
      <w:r>
        <w:rPr>
          <w:rFonts w:ascii="Times New Roman" w:cs="Times New Roman" w:eastAsia="Times New Roman" w:hAnsi="Times New Roman"/>
          <w:sz w:val="19"/>
          <w:szCs w:val="19"/>
        </w:rPr>
        <w:t xml:space="preserve">In Peru, healthcare professionals face growing exposure to claims of alleged malpractice and medical negligence. The National Superintendence of Health (SUSALUD) reported more than 163,000 health-rights-related complaints during 2024 alone, a figure that reflects sustained demand for formal recourse mechanisms [1]. In parallel, the Ombudsman’s Office (Defensoría del Pueblo) has identified management and resolution-capacity gaps in specialized health institutions [2], confirming the need for more robust institutional mechanisms to manage medical-legal risk. Internationally, studies in pediatric surgery and in obstetrics and gynecology consistently find that inadequate clinical assessment, communication errors, and poor documentation are the most frequent contributing factors in malpractice claims [3], [4]. This scenario increases the legal-professional vulnerability of medical staff, fosters defensive-medicine practices [5], and hinders the early structuring of a case ahead of potential litigation [6].</w:t>
      </w:r>
    </w:p>
    <w:p>
      <w:pPr>
        <w:spacing w:after="120" w:line="232" w:lineRule="auto"/>
        <w:ind w:firstLine="230"/>
        <w:jc w:val="both"/>
      </w:pPr>
      <w:r>
        <w:rPr>
          <w:rFonts w:ascii="Times New Roman" w:cs="Times New Roman" w:eastAsia="Times New Roman" w:hAnsi="Times New Roman"/>
          <w:sz w:val="19"/>
          <w:szCs w:val="19"/>
        </w:rPr>
        <w:t xml:space="preserve">When faced with a suspected malpractice incident, a physician’s access to specialized legal advice depends, in practice, on informal channels—instant messaging, phone calls, or e-mail—with delays estimated at 48 to 72 hours and little auditable traceability [7], [8]. This shortcoming is not merely a matter of technological reluctance, but stems from three difficulties intrinsic to the domain: (i) medical-legal data are sensitive and subject to strict personal-data-protection regulation [9]; (ii) black-box recommendations are ethically unacceptable in contexts where professional liability is at stake [10], [11]; and (iii) the absence of dense histories of physician–lawyer interaction limits the use of collaborative-filtering techniques, requiring solutions that are robust to cold-start conditions.</w:t>
      </w:r>
    </w:p>
    <w:p>
      <w:pPr>
        <w:spacing w:after="120" w:line="232" w:lineRule="auto"/>
        <w:ind w:firstLine="230"/>
        <w:jc w:val="both"/>
      </w:pPr>
      <w:r>
        <w:rPr>
          <w:rFonts w:ascii="Times New Roman" w:cs="Times New Roman" w:eastAsia="Times New Roman" w:hAnsi="Times New Roman"/>
          <w:sz w:val="19"/>
          <w:szCs w:val="19"/>
        </w:rPr>
        <w:t xml:space="preserve">Existing solutions address only fragments of this problem. Electronic health records solve the clinical-documentation side, but not legal mediation. Generic legal marketplaces such as Legalify connect users with lawyers by problem type and location, without incorporating medical-legal classification or machine learning [12]; Medical Legal Center offers specialized advice to physicians under a membership model, but without automating the referral process or providing digital case traceability [13]. None of these solutions integrate supervised consultation classification, content-based physician–lawyer matching, and traceable follow-up within a single digital workflow aimed at the health professional. Sinapsistencia differs by combining (1) simulated, non-identifiable clinical-legal case context, (2) the isolation of machine-learning inference within an independent microservice, (3) the persistence of explainable-AI rationales alongside every prediction, and (4) a specialty-based fallback matching mechanism for when the machine-learning service is unavailable.</w:t>
      </w:r>
    </w:p>
    <w:p>
      <w:pPr>
        <w:spacing w:after="120" w:line="232" w:lineRule="auto"/>
        <w:ind w:firstLine="230"/>
        <w:jc w:val="both"/>
      </w:pPr>
      <w:r>
        <w:rPr>
          <w:rFonts w:ascii="Times New Roman" w:cs="Times New Roman" w:eastAsia="Times New Roman" w:hAnsi="Times New Roman"/>
          <w:sz w:val="19"/>
          <w:szCs w:val="19"/>
        </w:rPr>
        <w:t xml:space="preserve">The main components of the solution are: a web application with three role-specific portals—physician, lawyer, and administrator; an application programming interface that enforces ownership rules at the service layer; a dedicated service that implements risk scoring through random forests and lawyer recommendation through cosine similarity over term-frequency vectors; and an audit log for critical system actions. Current limitations include the use of synthetic training data, a pilot validation without real patient records, and the pending execution of the project’s full-scale functional test plan.</w:t>
      </w:r>
    </w:p>
    <w:p>
      <w:pPr>
        <w:spacing w:after="120" w:line="232" w:lineRule="auto"/>
        <w:ind w:firstLine="230"/>
        <w:jc w:val="both"/>
      </w:pPr>
      <w:r>
        <w:rPr>
          <w:rFonts w:ascii="Times New Roman" w:cs="Times New Roman" w:eastAsia="Times New Roman" w:hAnsi="Times New Roman"/>
          <w:sz w:val="19"/>
          <w:szCs w:val="19"/>
        </w:rPr>
        <w:t xml:space="preserve">The remainder of this paper is organized as follows. Section II reviews related work; Section III describes the proposed solution, its architecture, and its algorithms; Section IV presents the experimental protocol, the results, and their discussion; and Section V draws conclusions and outlines future work.</w:t>
      </w:r>
    </w:p>
    <w:p>
      <w:pPr>
        <w:spacing w:after="140" w:before="220"/>
        <w:jc w:val="center"/>
      </w:pPr>
      <w:r>
        <w:rPr>
          <w:rFonts w:ascii="Times New Roman" w:cs="Times New Roman" w:eastAsia="Times New Roman" w:hAnsi="Times New Roman"/>
          <w:b/>
          <w:bCs/>
          <w:sz w:val="19"/>
          <w:szCs w:val="19"/>
        </w:rPr>
        <w:t xml:space="preserve">II. RELATED WORK</w:t>
      </w:r>
    </w:p>
    <w:p>
      <w:pPr>
        <w:spacing w:after="120" w:line="232" w:lineRule="auto"/>
        <w:ind w:firstLine="230"/>
        <w:jc w:val="both"/>
      </w:pPr>
      <w:r>
        <w:rPr>
          <w:rFonts w:ascii="Times New Roman" w:cs="Times New Roman" w:eastAsia="Times New Roman" w:hAnsi="Times New Roman"/>
          <w:sz w:val="19"/>
          <w:szCs w:val="19"/>
        </w:rPr>
        <w:t xml:space="preserve">Research on medical-legal vulnerability, trustworthy artificial intelligence in clinical and legal contexts, and matching and risk-modeling techniques underpins the design of Sinapsistencia. The following subsections group prior work into three lines.</w:t>
      </w:r>
    </w:p>
    <w:p>
      <w:pPr>
        <w:spacing w:after="80" w:before="120"/>
        <w:jc w:val="both"/>
      </w:pPr>
      <w:r>
        <w:rPr>
          <w:rFonts w:ascii="Times New Roman" w:cs="Times New Roman" w:eastAsia="Times New Roman" w:hAnsi="Times New Roman"/>
          <w:b/>
          <w:bCs/>
          <w:i/>
          <w:iCs/>
          <w:sz w:val="19"/>
          <w:szCs w:val="19"/>
        </w:rPr>
        <w:t xml:space="preserve">A. Medical Negligence and Digital Liability</w:t>
      </w:r>
    </w:p>
    <w:p>
      <w:pPr>
        <w:spacing w:after="120" w:line="232" w:lineRule="auto"/>
        <w:ind w:firstLine="230"/>
        <w:jc w:val="both"/>
      </w:pPr>
      <w:r>
        <w:rPr>
          <w:rFonts w:ascii="Times New Roman" w:cs="Times New Roman" w:eastAsia="Times New Roman" w:hAnsi="Times New Roman"/>
          <w:sz w:val="19"/>
          <w:szCs w:val="19"/>
        </w:rPr>
        <w:t xml:space="preserve">Miziara and Miziara [5] review medical errors, negligence, and defensive medicine, highlighting documentation and communication as recurring points of failure. Prieto, Lamas, and Rodríguez [3] identify inadequate clinical assessment and communication errors as the most frequent contributing factors in pediatric surgery, while Gunenc et al. [4] link malpractice stress syndrome to defensive medicine among obstetricians and gynecologists. Ugarte Mostajo [14] analyzes the duty to inform as a pillar of medical civil liability in Peru. Rowland et al. [7] note that unstructured digital channels create liability risks and governance gaps, and Wong et al. [8] show that procedural and documentation issues dominate litigation patterns in emergency-care settings. These studies justify structured case capture and document versioning, but none proposes a digital mechanism that directly connects physicians with lawyers.</w:t>
      </w:r>
    </w:p>
    <w:p>
      <w:pPr>
        <w:spacing w:after="80" w:before="120"/>
        <w:jc w:val="both"/>
      </w:pPr>
      <w:r>
        <w:rPr>
          <w:rFonts w:ascii="Times New Roman" w:cs="Times New Roman" w:eastAsia="Times New Roman" w:hAnsi="Times New Roman"/>
          <w:b/>
          <w:bCs/>
          <w:i/>
          <w:iCs/>
          <w:sz w:val="19"/>
          <w:szCs w:val="19"/>
        </w:rPr>
        <w:t xml:space="preserve">B. Trustworthy AI in Clinical and Legal Contexts</w:t>
      </w:r>
    </w:p>
    <w:p>
      <w:pPr>
        <w:spacing w:after="120" w:line="232" w:lineRule="auto"/>
        <w:ind w:firstLine="230"/>
        <w:jc w:val="both"/>
      </w:pPr>
      <w:r>
        <w:rPr>
          <w:rFonts w:ascii="Times New Roman" w:cs="Times New Roman" w:eastAsia="Times New Roman" w:hAnsi="Times New Roman"/>
          <w:sz w:val="19"/>
          <w:szCs w:val="19"/>
        </w:rPr>
        <w:t xml:space="preserve">Jones, Thornton, and Wyatt [10] report that clinicians’ trust in AI-based decision support depends on transparency and on retaining human control over the outcome. Wang et al. [15] systematically review human-centered design for AI-enabled clinical systems and recommend transparency and explicit usage boundaries. Scott et al. [11] identify the lack of explanations as a key barrier to large-scale clinical adoption, an observation echoed by Wilhelm et al. [16] and Ayorinde et al. [17], who warn of the risks of institutional adoption without rigorous prior validation. Sinapsistencia addresses this gap by persisting risk factors derived from feature importance and by explicitly displaying warnings about the non-deterministic nature of its outputs.</w:t>
      </w:r>
    </w:p>
    <w:p>
      <w:pPr>
        <w:spacing w:after="80" w:before="120"/>
        <w:jc w:val="both"/>
      </w:pPr>
      <w:r>
        <w:rPr>
          <w:rFonts w:ascii="Times New Roman" w:cs="Times New Roman" w:eastAsia="Times New Roman" w:hAnsi="Times New Roman"/>
          <w:b/>
          <w:bCs/>
          <w:i/>
          <w:iCs/>
          <w:sz w:val="19"/>
          <w:szCs w:val="19"/>
        </w:rPr>
        <w:t xml:space="preserve">C. Matching and Risk-Modeling Techniques</w:t>
      </w:r>
    </w:p>
    <w:p>
      <w:pPr>
        <w:spacing w:after="120" w:line="232" w:lineRule="auto"/>
        <w:ind w:firstLine="230"/>
        <w:jc w:val="both"/>
      </w:pPr>
      <w:r>
        <w:rPr>
          <w:rFonts w:ascii="Times New Roman" w:cs="Times New Roman" w:eastAsia="Times New Roman" w:hAnsi="Times New Roman"/>
          <w:sz w:val="19"/>
          <w:szCs w:val="19"/>
        </w:rPr>
        <w:t xml:space="preserve">Manning, Raghavan, and Schütze [18] and Ricci, Rokach, and Shapira [19] establish content-based recommendation—including term-frequency weighting—as an effective strategy against cold start, relevant to physician–lawyer matching in the absence of dense interaction histories. Aggarwal [20] distinguishes collaborative filtering from content-based and hybrid recommendation, confirming that the former is inappropriate when historical interaction data are unavailable. Random forest classifiers, formalized by Breiman [21] and validated for clinical risk prediction by Wongvibulsin, Wu, and Zeger [22], remain a robust baseline for tabular risk scoring with interpretable contributions, although Wallace, Blaas, and Wyatt [23] caution against naively interpreting feature importance without additional robustness analysis. Unlike generic legal marketplaces and existing clinical decision-support systems, Sinapsistencia couples both techniques within a health-specific workflow, using simulated data aligned with Peruvian personal-data-protection regulation [9].</w:t>
      </w:r>
    </w:p>
    <w:p>
      <w:pPr>
        <w:spacing w:after="120" w:line="232" w:lineRule="auto"/>
        <w:ind w:firstLine="230"/>
        <w:jc w:val="both"/>
      </w:pPr>
      <w:r>
        <w:rPr>
          <w:rFonts w:ascii="Times New Roman" w:cs="Times New Roman" w:eastAsia="Times New Roman" w:hAnsi="Times New Roman"/>
          <w:sz w:val="19"/>
          <w:szCs w:val="19"/>
        </w:rPr>
        <w:t xml:space="preserve">Table I summarizes this comparison against the closest medical-legal digital solutions identified in the literature and on the market. No prior work simultaneously integrates explainable risk classification, content-based matching, and auditable traceability aimed at the Peruvian health professional.</w:t>
      </w:r>
    </w:p>
    <w:p>
      <w:pPr>
        <w:spacing w:after="40" w:before="100"/>
        <w:jc w:val="center"/>
      </w:pPr>
      <w:r>
        <w:rPr>
          <w:rFonts w:ascii="Times New Roman" w:cs="Times New Roman" w:eastAsia="Times New Roman" w:hAnsi="Times New Roman"/>
          <w:b w:val="false"/>
          <w:bCs w:val="false"/>
          <w:sz w:val="14"/>
          <w:szCs w:val="14"/>
        </w:rPr>
        <w:t xml:space="preserve">TABLE I. COMPARISON OF DIGITAL MEDICAL-LEGAL SOLUTIONS</w:t>
      </w:r>
    </w:p>
    <w:p>
      <w:pPr>
        <w:spacing w:after="16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50"/>
        <w:gridCol w:w="850"/>
      </w:tblGrid>
      <w:tr>
        <w:trPr>
          <w:tblHeader/>
        </w:trPr>
        <w:tc>
          <w:tcPr>
            <w:tcW w:type="dxa" w:w="15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Solution</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Risk Class.</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Content Match.</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Traceab.</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Explain.</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Electronic health records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Legalify</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Medical Legal Center</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Clinical decision-support sys.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 (clinical)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Variable</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Sinapsistencia (proposed)</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r>
    </w:tbl>
    <w:p>
      <w:pPr>
        <w:spacing w:after="140" w:before="220"/>
        <w:jc w:val="center"/>
      </w:pPr>
      <w:r>
        <w:rPr>
          <w:rFonts w:ascii="Times New Roman" w:cs="Times New Roman" w:eastAsia="Times New Roman" w:hAnsi="Times New Roman"/>
          <w:b/>
          <w:bCs/>
          <w:sz w:val="19"/>
          <w:szCs w:val="19"/>
        </w:rPr>
        <w:t xml:space="preserve">III. PROPOSED SOLUTION</w:t>
      </w:r>
    </w:p>
    <w:p>
      <w:pPr>
        <w:spacing w:after="120" w:line="232" w:lineRule="auto"/>
        <w:ind w:firstLine="230"/>
        <w:jc w:val="both"/>
      </w:pPr>
      <w:r>
        <w:rPr>
          <w:rFonts w:ascii="Times New Roman" w:cs="Times New Roman" w:eastAsia="Times New Roman" w:hAnsi="Times New Roman"/>
          <w:sz w:val="19"/>
          <w:szCs w:val="19"/>
        </w:rPr>
        <w:t xml:space="preserve">Sinapsistencia follows a decoupled microservice architecture (Fig. 1). The frontend, built in Angular, consumes REST application programming interfaces exposed by a Spring Boot backend secured with JSON Web Tokens (JWT) and role-based access control. A PostgreSQL database stores operational data, with schema migrations versioned through Flyway. An independent FastAPI service hosts the machine-learning models and is invoked by the backend through an HTTP proxy with a five-second timeout and controlled degradation on failure.</w:t>
      </w:r>
    </w:p>
    <w:p>
      <w:pPr>
        <w:spacing w:after="160" w:before="80"/>
        <w:jc w:val="center"/>
      </w:pPr>
      <w:r>
        <w:rPr>
          <w:rFonts w:ascii="Times New Roman" w:cs="Times New Roman" w:eastAsia="Times New Roman" w:hAnsi="Times New Roman"/>
          <w:i w:val="false"/>
          <w:iCs w:val="false"/>
          <w:sz w:val="16"/>
          <w:szCs w:val="16"/>
        </w:rPr>
        <w:t xml:space="preserve">Fig. 1. Overall architecture of Sinapsistencia: role-based portals, the Spring Boot backend, the FastAPI machine-learning service, and the PostgreSQL database. [Insert layered architecture diagram]</w:t>
      </w:r>
    </w:p>
    <w:p>
      <w:pPr>
        <w:spacing w:after="80" w:before="120"/>
        <w:jc w:val="both"/>
      </w:pPr>
      <w:r>
        <w:rPr>
          <w:rFonts w:ascii="Times New Roman" w:cs="Times New Roman" w:eastAsia="Times New Roman" w:hAnsi="Times New Roman"/>
          <w:b/>
          <w:bCs/>
          <w:i/>
          <w:iCs/>
          <w:sz w:val="19"/>
          <w:szCs w:val="19"/>
        </w:rPr>
        <w:t xml:space="preserve">A. System Architecture</w:t>
      </w:r>
    </w:p>
    <w:p>
      <w:pPr>
        <w:spacing w:after="120" w:line="232" w:lineRule="auto"/>
        <w:ind w:firstLine="230"/>
        <w:jc w:val="both"/>
      </w:pPr>
      <w:r>
        <w:rPr>
          <w:rFonts w:ascii="Times New Roman" w:cs="Times New Roman" w:eastAsia="Times New Roman" w:hAnsi="Times New Roman"/>
          <w:sz w:val="19"/>
          <w:szCs w:val="19"/>
        </w:rPr>
        <w:t xml:space="preserve">The physician portal allows the registration of consultations with simulated clinical-legal context—reference age, medical area, case summary, and relevant factors—without identifiable patient data, in accordance with Law No. 29733 [9]. The lawyer portal lists pending cases and relevant contact requests according to the lawyer’s specialty. The administrator portal manages users, the audit log, model metrics, and summary reports. Ownership rules prevent a physician from accessing consultations registered by peers; these rules are enforced at the service layer and validated through automated integration tests.</w:t>
      </w:r>
    </w:p>
    <w:p>
      <w:pPr>
        <w:spacing w:after="80" w:before="120"/>
        <w:jc w:val="both"/>
      </w:pPr>
      <w:r>
        <w:rPr>
          <w:rFonts w:ascii="Times New Roman" w:cs="Times New Roman" w:eastAsia="Times New Roman" w:hAnsi="Times New Roman"/>
          <w:b/>
          <w:bCs/>
          <w:i/>
          <w:iCs/>
          <w:sz w:val="19"/>
          <w:szCs w:val="19"/>
        </w:rPr>
        <w:t xml:space="preserve">B. Risk Assessment Model</w:t>
      </w:r>
    </w:p>
    <w:p>
      <w:pPr>
        <w:spacing w:after="120" w:line="232" w:lineRule="auto"/>
        <w:ind w:firstLine="230"/>
        <w:jc w:val="both"/>
      </w:pPr>
      <w:r>
        <w:rPr>
          <w:rFonts w:ascii="Times New Roman" w:cs="Times New Roman" w:eastAsia="Times New Roman" w:hAnsi="Times New Roman"/>
          <w:sz w:val="19"/>
          <w:szCs w:val="19"/>
        </w:rPr>
        <w:t xml:space="preserve">The risk module predicts a continuous legal-risk score and a categorical risk level—low, moderate, high, or critical—from structured features: medical specialty, procedure complexity, clinical priority, documentation completeness, presence of informed consent, prior complaints, and days elapsed since the incident. The training data comprise six thousand synthetic rows, generated through business rules with added Gaussian noise to avoid trivial model memorization. A 200-tree random forest classifier and a random forest regressor of the same family share the same preprocessed feature space, encoded through one-hot representation for specialty and ordinal encoding for complexity and priority [21]. Model explainability combines global feature importance with the normalized values of each individual case, producing the risk factors shown to the user as decision support rather than as a substitute for judgment.</w:t>
      </w:r>
    </w:p>
    <w:p>
      <w:pPr>
        <w:spacing w:after="80" w:before="120"/>
        <w:jc w:val="both"/>
      </w:pPr>
      <w:r>
        <w:rPr>
          <w:rFonts w:ascii="Times New Roman" w:cs="Times New Roman" w:eastAsia="Times New Roman" w:hAnsi="Times New Roman"/>
          <w:b/>
          <w:bCs/>
          <w:i/>
          <w:iCs/>
          <w:sz w:val="19"/>
          <w:szCs w:val="19"/>
        </w:rPr>
        <w:t xml:space="preserve">C. Physician–Lawyer Matching</w:t>
      </w:r>
    </w:p>
    <w:p>
      <w:pPr>
        <w:spacing w:after="120" w:line="232" w:lineRule="auto"/>
        <w:ind w:firstLine="230"/>
        <w:jc w:val="both"/>
      </w:pPr>
      <w:r>
        <w:rPr>
          <w:rFonts w:ascii="Times New Roman" w:cs="Times New Roman" w:eastAsia="Times New Roman" w:hAnsi="Times New Roman"/>
          <w:sz w:val="19"/>
          <w:szCs w:val="19"/>
        </w:rPr>
        <w:t xml:space="preserve">Lawyer profiles are vectorized from their legal specialties, medical areas of interest, and biographical description using a term-frequency, inverse-document-frequency representation [18]. Consultations registered by the physician, built from the specialty and the case context, are compared against these profiles through cosine similarity. The output includes a content-affinity score, matching specialties, and natural-language reasons that justify the recommendation. When the machine-learning service is unavailable, the backend applies a fallback mechanism that ranks lawyers solely by medical-area match, ensuring service continuity.</w:t>
      </w:r>
    </w:p>
    <w:p>
      <w:pPr>
        <w:spacing w:after="80" w:before="120"/>
        <w:jc w:val="both"/>
      </w:pPr>
      <w:r>
        <w:rPr>
          <w:rFonts w:ascii="Times New Roman" w:cs="Times New Roman" w:eastAsia="Times New Roman" w:hAnsi="Times New Roman"/>
          <w:b/>
          <w:bCs/>
          <w:i/>
          <w:iCs/>
          <w:sz w:val="19"/>
          <w:szCs w:val="19"/>
        </w:rPr>
        <w:t xml:space="preserve">D. Application Programming Interface Contract</w:t>
      </w:r>
    </w:p>
    <w:p>
      <w:pPr>
        <w:spacing w:after="120" w:line="232" w:lineRule="auto"/>
        <w:ind w:firstLine="230"/>
        <w:jc w:val="both"/>
      </w:pPr>
      <w:r>
        <w:rPr>
          <w:rFonts w:ascii="Times New Roman" w:cs="Times New Roman" w:eastAsia="Times New Roman" w:hAnsi="Times New Roman"/>
          <w:sz w:val="19"/>
          <w:szCs w:val="19"/>
        </w:rPr>
        <w:t xml:space="preserve">The FastAPI service exposes the endpoints GET /health, GET /api/v1/model/info, POST /api/v1/risk-assessment, and POST /api/v1/recommendations. The Spring Boot backend proxies these endpoints and normalizes the responses to the camelCase format required by the frontend. High or critical risk levels can optionally trigger fire-and-forget notifications to an external automation webhook.</w:t>
      </w:r>
    </w:p>
    <w:p>
      <w:pPr>
        <w:spacing w:after="140" w:before="220"/>
        <w:jc w:val="center"/>
      </w:pPr>
      <w:r>
        <w:rPr>
          <w:rFonts w:ascii="Times New Roman" w:cs="Times New Roman" w:eastAsia="Times New Roman" w:hAnsi="Times New Roman"/>
          <w:b/>
          <w:bCs/>
          <w:sz w:val="19"/>
          <w:szCs w:val="19"/>
        </w:rPr>
        <w:t xml:space="preserve">IV. EXPERIMENTS AND VALIDATION</w:t>
      </w:r>
    </w:p>
    <w:p>
      <w:pPr>
        <w:spacing w:after="120" w:line="232" w:lineRule="auto"/>
        <w:ind w:firstLine="230"/>
        <w:jc w:val="both"/>
      </w:pPr>
      <w:r>
        <w:rPr>
          <w:rFonts w:ascii="Times New Roman" w:cs="Times New Roman" w:eastAsia="Times New Roman" w:hAnsi="Times New Roman"/>
          <w:sz w:val="19"/>
          <w:szCs w:val="19"/>
        </w:rPr>
        <w:t xml:space="preserve">Validation of Sinapsistencia followed four fronts aligned with the project’s quality plan: (1) offline evaluation of the machine-learning model, (2) backend integration testing, (3) verification of the frontend’s production build, and (4) incremental functional scenarios drawn from the academic test catalog.</w:t>
      </w:r>
    </w:p>
    <w:p>
      <w:pPr>
        <w:spacing w:after="80" w:before="120"/>
        <w:jc w:val="both"/>
      </w:pPr>
      <w:r>
        <w:rPr>
          <w:rFonts w:ascii="Times New Roman" w:cs="Times New Roman" w:eastAsia="Times New Roman" w:hAnsi="Times New Roman"/>
          <w:b/>
          <w:bCs/>
          <w:i/>
          <w:iCs/>
          <w:sz w:val="19"/>
          <w:szCs w:val="19"/>
        </w:rPr>
        <w:t xml:space="preserve">A. Experimental Protocol</w:t>
      </w:r>
    </w:p>
    <w:p>
      <w:pPr>
        <w:spacing w:after="120" w:line="232" w:lineRule="auto"/>
        <w:ind w:firstLine="230"/>
        <w:jc w:val="both"/>
      </w:pPr>
      <w:r>
        <w:rPr>
          <w:rFonts w:ascii="Times New Roman" w:cs="Times New Roman" w:eastAsia="Times New Roman" w:hAnsi="Times New Roman"/>
          <w:sz w:val="19"/>
          <w:szCs w:val="19"/>
        </w:rPr>
        <w:t xml:space="preserve">The synthetic dataset was split 80/20 with stratification on risk level, and metrics are reported on the held-out test partition. Matching was evaluated qualitatively in demonstration scenarios using a corpus of eight lawyer profiles linked to real database identifiers. All experiments were run on a development workstation using Python 3.12, scikit-learn 1.5.2, and FastAPI 0.115.0.</w:t>
      </w:r>
    </w:p>
    <w:p>
      <w:pPr>
        <w:spacing w:after="80" w:before="120"/>
        <w:jc w:val="both"/>
      </w:pPr>
      <w:r>
        <w:rPr>
          <w:rFonts w:ascii="Times New Roman" w:cs="Times New Roman" w:eastAsia="Times New Roman" w:hAnsi="Times New Roman"/>
          <w:b/>
          <w:bCs/>
          <w:i/>
          <w:iCs/>
          <w:sz w:val="19"/>
          <w:szCs w:val="19"/>
        </w:rPr>
        <w:t xml:space="preserve">B. Quantitative Results</w:t>
      </w:r>
    </w:p>
    <w:p>
      <w:pPr>
        <w:spacing w:after="120" w:line="232" w:lineRule="auto"/>
        <w:ind w:firstLine="230"/>
        <w:jc w:val="both"/>
      </w:pPr>
      <w:r>
        <w:rPr>
          <w:rFonts w:ascii="Times New Roman" w:cs="Times New Roman" w:eastAsia="Times New Roman" w:hAnsi="Times New Roman"/>
          <w:sz w:val="19"/>
          <w:szCs w:val="19"/>
        </w:rPr>
        <w:t xml:space="preserve">Table II summarizes the performance of the random forest classifier (model version rf-v1) on the held-out test set.</w:t>
      </w:r>
    </w:p>
    <w:p>
      <w:pPr>
        <w:spacing w:after="40" w:before="100"/>
        <w:jc w:val="center"/>
      </w:pPr>
      <w:r>
        <w:rPr>
          <w:rFonts w:ascii="Times New Roman" w:cs="Times New Roman" w:eastAsia="Times New Roman" w:hAnsi="Times New Roman"/>
          <w:b w:val="false"/>
          <w:bCs w:val="false"/>
          <w:sz w:val="14"/>
          <w:szCs w:val="14"/>
        </w:rPr>
        <w:t xml:space="preserve">TABLE II. EVALUATION METRICS OF THE RISK CLASSIFIER (rf-v1)</w:t>
      </w:r>
    </w:p>
    <w:p>
      <w:pPr>
        <w:spacing w:after="160"/>
        <w:jc w:val="center"/>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tblGrid>
      <w:tr>
        <w:trPr>
          <w:tblHeader/>
        </w:trPr>
        <w:tc>
          <w:tcPr>
            <w:tcW w:type="dxa" w:w="27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Metric</w:t>
            </w:r>
          </w:p>
        </w:tc>
        <w:tc>
          <w:tcPr>
            <w:tcW w:type="dxa" w:w="2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Value</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Precision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0.6179</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Recall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0.5973</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F1-score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0.6034</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Dataset size</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6,000 synthetic cases</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Mean inference latency (local)</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 120 ms</w:t>
            </w:r>
          </w:p>
        </w:tc>
      </w:tr>
    </w:tbl>
    <w:p>
      <w:pPr>
        <w:spacing w:after="120" w:line="232" w:lineRule="auto"/>
        <w:ind w:firstLine="230"/>
        <w:jc w:val="both"/>
      </w:pPr>
      <w:r>
        <w:rPr>
          <w:rFonts w:ascii="Times New Roman" w:cs="Times New Roman" w:eastAsia="Times New Roman" w:hAnsi="Times New Roman"/>
          <w:sz w:val="19"/>
          <w:szCs w:val="19"/>
        </w:rPr>
        <w:t xml:space="preserve">The backend’s five integration test suites passed with a 100% success rate against a Dockerized PostgreSQL instance managed through Testcontainers. Critical REST operations—login, consultation creation, matching proxy, and administrative reporting—completed in under two seconds in local measurements, meeting the response-time indicator established for the minimum-viable-product scope.</w:t>
      </w:r>
    </w:p>
    <w:p>
      <w:pPr>
        <w:spacing w:after="80" w:before="120"/>
        <w:jc w:val="both"/>
      </w:pPr>
      <w:r>
        <w:rPr>
          <w:rFonts w:ascii="Times New Roman" w:cs="Times New Roman" w:eastAsia="Times New Roman" w:hAnsi="Times New Roman"/>
          <w:b/>
          <w:bCs/>
          <w:i/>
          <w:iCs/>
          <w:sz w:val="19"/>
          <w:szCs w:val="19"/>
        </w:rPr>
        <w:t xml:space="preserve">C. Qualitative Results</w:t>
      </w:r>
    </w:p>
    <w:p>
      <w:pPr>
        <w:spacing w:after="120" w:line="232" w:lineRule="auto"/>
        <w:ind w:firstLine="230"/>
        <w:jc w:val="both"/>
      </w:pPr>
      <w:r>
        <w:rPr>
          <w:rFonts w:ascii="Times New Roman" w:cs="Times New Roman" w:eastAsia="Times New Roman" w:hAnsi="Times New Roman"/>
          <w:sz w:val="19"/>
          <w:szCs w:val="19"/>
        </w:rPr>
        <w:t xml:space="preserve">End-to-end demonstrations confirmed: (i) role-based navigation across the three portals; (ii) consultation registration with simulated context; (iii) generation of lawyer recommendations with explainable rationales; (iv) persistence and retrieval of risk classifications through the application programming interface; and (v) visible warnings about the use of artificial intelligence as decision support rather than as a substitute for professional judgment. Lawyers received only unassigned cases relevant to their declared medical areas. These observations support the feasibility of an academic pilot evaluation at Clínica SANNA “El Golf,” using exclusively simulated scenarios.</w:t>
      </w:r>
    </w:p>
    <w:p>
      <w:pPr>
        <w:spacing w:after="80" w:before="120"/>
        <w:jc w:val="both"/>
      </w:pPr>
      <w:r>
        <w:rPr>
          <w:rFonts w:ascii="Times New Roman" w:cs="Times New Roman" w:eastAsia="Times New Roman" w:hAnsi="Times New Roman"/>
          <w:b/>
          <w:bCs/>
          <w:i/>
          <w:iCs/>
          <w:sz w:val="19"/>
          <w:szCs w:val="19"/>
        </w:rPr>
        <w:t xml:space="preserve">D. Discussion</w:t>
      </w:r>
    </w:p>
    <w:p>
      <w:pPr>
        <w:spacing w:after="120" w:line="232" w:lineRule="auto"/>
        <w:ind w:firstLine="230"/>
        <w:jc w:val="both"/>
      </w:pPr>
      <w:r>
        <w:rPr>
          <w:rFonts w:ascii="Times New Roman" w:cs="Times New Roman" w:eastAsia="Times New Roman" w:hAnsi="Times New Roman"/>
          <w:sz w:val="19"/>
          <w:szCs w:val="19"/>
        </w:rPr>
        <w:t xml:space="preserve">The obtained macro F1-score of 0.60 is moderate and falls below the 70% precision target established in the project’s quality plan, which is consistent with the exclusive use of synthetic data and with a first model iteration without hyperparameter tuning. This result warrants cautious interpretation: Wallace, Blaas, and Wyatt [23] warn that feature importance in random forests can be unstable under correlated data, so the risk factors shown to the user should be understood as orientative support rather than as a definitive causal explanation. By contrast, software integration achieved a 100% success rate, and inference latency remained well below the two-second acceptance criterion, confirming that the microservice architecture is suitable for interactive use. Compared with the prior work reviewed in Section II, most of which lacks persistent explainability mechanisms, Sinapsistencia advances at least in transparency, although predictive performance still needs improvement before validation with real-world data.</w:t>
      </w:r>
    </w:p>
    <w:p>
      <w:pPr>
        <w:spacing w:after="140" w:before="220"/>
        <w:jc w:val="center"/>
      </w:pPr>
      <w:r>
        <w:rPr>
          <w:rFonts w:ascii="Times New Roman" w:cs="Times New Roman" w:eastAsia="Times New Roman" w:hAnsi="Times New Roman"/>
          <w:b/>
          <w:bCs/>
          <w:sz w:val="19"/>
          <w:szCs w:val="19"/>
        </w:rPr>
        <w:t xml:space="preserve">V. CONCLUSIONS AND PERSPECTIVES</w:t>
      </w:r>
    </w:p>
    <w:p>
      <w:pPr>
        <w:spacing w:after="120" w:line="232" w:lineRule="auto"/>
        <w:ind w:firstLine="230"/>
        <w:jc w:val="both"/>
      </w:pPr>
      <w:r>
        <w:rPr>
          <w:rFonts w:ascii="Times New Roman" w:cs="Times New Roman" w:eastAsia="Times New Roman" w:hAnsi="Times New Roman"/>
          <w:sz w:val="19"/>
          <w:szCs w:val="19"/>
        </w:rPr>
        <w:t xml:space="preserve">This paper presented Sinapsistencia, a medical-legal mediation platform that integrates structured workflows, auditability, and explainable machine learning for the Peruvian healthcare sector. The hybrid design—random forests for risk scoring and content-based information retrieval for physician–lawyer matching—addresses the cold-start constraints inherent to the domain while maintaining inference latency suitable for interactive use.</w:t>
      </w:r>
    </w:p>
    <w:p>
      <w:pPr>
        <w:spacing w:after="120" w:line="232" w:lineRule="auto"/>
        <w:ind w:firstLine="230"/>
        <w:jc w:val="both"/>
      </w:pPr>
      <w:r>
        <w:rPr>
          <w:rFonts w:ascii="Times New Roman" w:cs="Times New Roman" w:eastAsia="Times New Roman" w:hAnsi="Times New Roman"/>
          <w:sz w:val="19"/>
          <w:szCs w:val="19"/>
        </w:rPr>
        <w:t xml:space="preserve">Results on synthetic data demonstrate moderate classification performance (macro F1 ≈ 0.60) and successful software integration across the frontend, backend, database, and machine-learning service. The system explicitly treats AI outputs as non-deterministic decision support, in line with the ethical requirements of a domain highly sensitive to professional liability.</w:t>
      </w:r>
    </w:p>
    <w:p>
      <w:pPr>
        <w:spacing w:after="120" w:line="232" w:lineRule="auto"/>
        <w:ind w:firstLine="230"/>
        <w:jc w:val="both"/>
      </w:pPr>
      <w:r>
        <w:rPr>
          <w:rFonts w:ascii="Times New Roman" w:cs="Times New Roman" w:eastAsia="Times New Roman" w:hAnsi="Times New Roman"/>
          <w:sz w:val="19"/>
          <w:szCs w:val="19"/>
        </w:rPr>
        <w:t xml:space="preserve">Future work is organized around five lines: (i) expanding the corpus of lawyer profiles and collecting pilot feedback without identifiable patient data; (ii) quantitatively evaluating matching against a relevance target of at least 70% within the top three recommendations, and incorporating formal explainability techniques such as SHAP [24] and LIME [25] to complement the feature importance already available; (iii) deploying the system to the cloud to enable accessible demonstration environments; (iv) executing the full plan of ninety functional test cases defined in the academic catalog; and (v) evaluating system usability through the System Usability Scale [26] and comparing advisory-access times between the current process (As-Is) and the proposed process (To-Be) during the validation phase (TP2).</w:t>
      </w:r>
    </w:p>
    <w:p>
      <w:pPr>
        <w:spacing w:after="140" w:before="220"/>
        <w:jc w:val="center"/>
      </w:pPr>
      <w:r>
        <w:rPr>
          <w:rFonts w:ascii="Times New Roman" w:cs="Times New Roman" w:eastAsia="Times New Roman" w:hAnsi="Times New Roman"/>
          <w:b/>
          <w:bCs/>
          <w:sz w:val="19"/>
          <w:szCs w:val="19"/>
        </w:rPr>
        <w:t xml:space="preserve">ACKNOWLEDGMENT</w:t>
      </w:r>
    </w:p>
    <w:p>
      <w:pPr>
        <w:spacing w:after="120" w:line="232" w:lineRule="auto"/>
        <w:ind w:firstLine="230"/>
        <w:jc w:val="both"/>
      </w:pPr>
      <w:r>
        <w:rPr>
          <w:rFonts w:ascii="Times New Roman" w:cs="Times New Roman" w:eastAsia="Times New Roman" w:hAnsi="Times New Roman"/>
          <w:sz w:val="19"/>
          <w:szCs w:val="19"/>
        </w:rPr>
        <w:t xml:space="preserve">The authors thank the School of Systems and Computer Engineering of Universidad Peruana de Ciencias Aplicadas for its academic support; advisors Jymmy Stuwart Dextre Alarcón and Jorge Enrique Polo Martínez for their methodological guidance throughout the project; and Clínica SANNA “El Golf” for its institutional collaboration within the simulated pilot-validation context.</w:t>
      </w:r>
    </w:p>
    <w:p>
      <w:pPr>
        <w:spacing w:after="140" w:before="220"/>
        <w:jc w:val="center"/>
      </w:pPr>
      <w:r>
        <w:rPr>
          <w:rFonts w:ascii="Times New Roman" w:cs="Times New Roman" w:eastAsia="Times New Roman" w:hAnsi="Times New Roman"/>
          <w:b/>
          <w:bCs/>
          <w:sz w:val="19"/>
          <w:szCs w:val="19"/>
        </w:rPr>
        <w:t xml:space="preserve">REFERENCES</w:t>
      </w:r>
    </w:p>
    <w:p>
      <w:pPr>
        <w:spacing w:after="80"/>
        <w:ind w:left="230" w:hanging="230"/>
        <w:jc w:val="both"/>
      </w:pPr>
      <w:r>
        <w:rPr>
          <w:rFonts w:ascii="Times New Roman" w:cs="Times New Roman" w:eastAsia="Times New Roman" w:hAnsi="Times New Roman"/>
          <w:sz w:val="17"/>
          <w:szCs w:val="17"/>
        </w:rPr>
        <w:t xml:space="preserve">[1] Superintendencia Nacional de Salud (SUSALUD), “SUSALUD brindó más de 163 mil atenciones sobre derechos en salud durante el 2024” [SUSALUD provided more than 163,000 health-rights services during 2024], Government of Peru, Lima, Peru, 2025.</w:t>
      </w:r>
    </w:p>
    <w:p>
      <w:pPr>
        <w:spacing w:after="80"/>
        <w:ind w:left="230" w:hanging="230"/>
        <w:jc w:val="both"/>
      </w:pPr>
      <w:r>
        <w:rPr>
          <w:rFonts w:ascii="Times New Roman" w:cs="Times New Roman" w:eastAsia="Times New Roman" w:hAnsi="Times New Roman"/>
          <w:sz w:val="17"/>
          <w:szCs w:val="17"/>
        </w:rPr>
        <w:t xml:space="preserve">[2] Defensoría del Pueblo del Perú, “Informe Defensorial N.º 243: Supervisión a institutos especializados de salud” [Ombudsman Report No. 243: Oversight of specialized health institutes], Lima, Peru, 2025.</w:t>
      </w:r>
    </w:p>
    <w:p>
      <w:pPr>
        <w:spacing w:after="80"/>
        <w:ind w:left="230" w:hanging="230"/>
        <w:jc w:val="both"/>
      </w:pPr>
      <w:r>
        <w:rPr>
          <w:rFonts w:ascii="Times New Roman" w:cs="Times New Roman" w:eastAsia="Times New Roman" w:hAnsi="Times New Roman"/>
          <w:sz w:val="17"/>
          <w:szCs w:val="17"/>
        </w:rPr>
        <w:t xml:space="preserve">[3] F. Prieto, A. Lamas, and J. Rodríguez, “Malpractice claims in paediatric surgery: A systematic review of contributing factors,” J. Pediatric Surg., vol. 57, no. 4, pp. 701–708, 2022.</w:t>
      </w:r>
    </w:p>
    <w:p>
      <w:pPr>
        <w:spacing w:after="80"/>
        <w:ind w:left="230" w:hanging="230"/>
        <w:jc w:val="both"/>
      </w:pPr>
      <w:r>
        <w:rPr>
          <w:rFonts w:ascii="Times New Roman" w:cs="Times New Roman" w:eastAsia="Times New Roman" w:hAnsi="Times New Roman"/>
          <w:sz w:val="17"/>
          <w:szCs w:val="17"/>
        </w:rPr>
        <w:t xml:space="preserve">[4] O. Gunenc, N. G. Kulhan, M. G. Bayman, C. Celik, A. Bilgi, C. Colluoglu, and M. Kulhan, “Medical malpractice stress syndrome and defensive medicine in obstetricians and gynecologists in Turkey,” Int. J. Clin. Pract., vol. 2024, Art. no. 8226403, 2024.</w:t>
      </w:r>
    </w:p>
    <w:p>
      <w:pPr>
        <w:spacing w:after="80"/>
        <w:ind w:left="230" w:hanging="230"/>
        <w:jc w:val="both"/>
      </w:pPr>
      <w:r>
        <w:rPr>
          <w:rFonts w:ascii="Times New Roman" w:cs="Times New Roman" w:eastAsia="Times New Roman" w:hAnsi="Times New Roman"/>
          <w:sz w:val="17"/>
          <w:szCs w:val="17"/>
        </w:rPr>
        <w:t xml:space="preserve">[5] I. D. Miziara and C. S. M. G. Miziara, “Medical errors, medical negligence and defensive medicine: A narrative review,” Clinics, vol. 77, Art. no. 100053, 2022.</w:t>
      </w:r>
    </w:p>
    <w:p>
      <w:pPr>
        <w:spacing w:after="80"/>
        <w:ind w:left="230" w:hanging="230"/>
        <w:jc w:val="both"/>
      </w:pPr>
      <w:r>
        <w:rPr>
          <w:rFonts w:ascii="Times New Roman" w:cs="Times New Roman" w:eastAsia="Times New Roman" w:hAnsi="Times New Roman"/>
          <w:sz w:val="17"/>
          <w:szCs w:val="17"/>
        </w:rPr>
        <w:t xml:space="preserve">[6] M.-E. Tumelty, “Plaintiff aims in medical negligence disputes: Limitations of an adversarial system,” Med. Law Rev., vol. 31, no. 2, pp. 226–246, 2023.</w:t>
      </w:r>
    </w:p>
    <w:p>
      <w:pPr>
        <w:spacing w:after="80"/>
        <w:ind w:left="230" w:hanging="230"/>
        <w:jc w:val="both"/>
      </w:pPr>
      <w:r>
        <w:rPr>
          <w:rFonts w:ascii="Times New Roman" w:cs="Times New Roman" w:eastAsia="Times New Roman" w:hAnsi="Times New Roman"/>
          <w:sz w:val="17"/>
          <w:szCs w:val="17"/>
        </w:rPr>
        <w:t xml:space="preserve">[7] S. P. Rowland, J. E. Fitzgerald, M. Lungren, E. (H.) Lee, Z. Harned, and A. H. McGregor, “Digital health technology-specific risks for medical malpractice liability,” npj Digit. Med., vol. 5, Art. no. 157, 2022.</w:t>
      </w:r>
    </w:p>
    <w:p>
      <w:pPr>
        <w:spacing w:after="80"/>
        <w:ind w:left="230" w:hanging="230"/>
        <w:jc w:val="both"/>
      </w:pPr>
      <w:r>
        <w:rPr>
          <w:rFonts w:ascii="Times New Roman" w:cs="Times New Roman" w:eastAsia="Times New Roman" w:hAnsi="Times New Roman"/>
          <w:sz w:val="17"/>
          <w:szCs w:val="17"/>
        </w:rPr>
        <w:t xml:space="preserve">[8] B. H. Wong, P. D. Parikh, K. C. Miller, and M. R. Zonfrillo, “Emergency department and urgent care medical malpractice claims 2001–15,” West. J. Emerg. Med., vol. 22, no. 2, pp. 333–338, 2021.</w:t>
      </w:r>
    </w:p>
    <w:p>
      <w:pPr>
        <w:spacing w:after="80"/>
        <w:ind w:left="230" w:hanging="230"/>
        <w:jc w:val="both"/>
      </w:pPr>
      <w:r>
        <w:rPr>
          <w:rFonts w:ascii="Times New Roman" w:cs="Times New Roman" w:eastAsia="Times New Roman" w:hAnsi="Times New Roman"/>
          <w:sz w:val="17"/>
          <w:szCs w:val="17"/>
        </w:rPr>
        <w:t xml:space="preserve">[9] Congress of the Republic of Peru, “Ley N.º 29733, Ley de Protección de Datos Personales” [Law No. 29733, Personal Data Protection Law], El Peruano, Lima, Peru, 2011.</w:t>
      </w:r>
    </w:p>
    <w:p>
      <w:pPr>
        <w:spacing w:after="80"/>
        <w:ind w:left="230" w:hanging="230"/>
        <w:jc w:val="both"/>
      </w:pPr>
      <w:r>
        <w:rPr>
          <w:rFonts w:ascii="Times New Roman" w:cs="Times New Roman" w:eastAsia="Times New Roman" w:hAnsi="Times New Roman"/>
          <w:sz w:val="17"/>
          <w:szCs w:val="17"/>
        </w:rPr>
        <w:t xml:space="preserve">[10] C. Jones, J. Thornton, and J. C. Wyatt, “Artificial intelligence and clinical decision support: Clinicians’ perspectives on trust, trustworthiness, and liability,” Med. Law Rev., vol. 31, no. 4, pp. 501–520, 2023.</w:t>
      </w:r>
    </w:p>
    <w:p>
      <w:pPr>
        <w:spacing w:after="80"/>
        <w:ind w:left="230" w:hanging="230"/>
        <w:jc w:val="both"/>
      </w:pPr>
      <w:r>
        <w:rPr>
          <w:rFonts w:ascii="Times New Roman" w:cs="Times New Roman" w:eastAsia="Times New Roman" w:hAnsi="Times New Roman"/>
          <w:sz w:val="17"/>
          <w:szCs w:val="17"/>
        </w:rPr>
        <w:t xml:space="preserve">[11] I. A. Scott, A. van der Vegt, P. Lane, S. McPhail, and F. Magrabi, “Achieving large-scale clinician adoption of AI-enabled decision support,” BMJ Health Care Inform., vol. 31, Art. no. e100971, 2024.</w:t>
      </w:r>
    </w:p>
    <w:p>
      <w:pPr>
        <w:spacing w:after="80"/>
        <w:ind w:left="230" w:hanging="230"/>
        <w:jc w:val="both"/>
      </w:pPr>
      <w:r>
        <w:rPr>
          <w:rFonts w:ascii="Times New Roman" w:cs="Times New Roman" w:eastAsia="Times New Roman" w:hAnsi="Times New Roman"/>
          <w:sz w:val="17"/>
          <w:szCs w:val="17"/>
        </w:rPr>
        <w:t xml:space="preserve">[12] Legalify, “Plataforma legal digital” [Digital legal platform], 2025. [Online]. Available: https://legalify.app/</w:t>
      </w:r>
    </w:p>
    <w:p>
      <w:pPr>
        <w:spacing w:after="80"/>
        <w:ind w:left="230" w:hanging="230"/>
        <w:jc w:val="both"/>
      </w:pPr>
      <w:r>
        <w:rPr>
          <w:rFonts w:ascii="Times New Roman" w:cs="Times New Roman" w:eastAsia="Times New Roman" w:hAnsi="Times New Roman"/>
          <w:sz w:val="17"/>
          <w:szCs w:val="17"/>
        </w:rPr>
        <w:t xml:space="preserve">[13] Medical Legal Center, “Líderes en protección médico legal en México” [Leaders in medical-legal protection in Mexico], 2022. [Online]. Available: https://medicallegalcenter.com/</w:t>
      </w:r>
    </w:p>
    <w:p>
      <w:pPr>
        <w:spacing w:after="80"/>
        <w:ind w:left="230" w:hanging="230"/>
        <w:jc w:val="both"/>
      </w:pPr>
      <w:r>
        <w:rPr>
          <w:rFonts w:ascii="Times New Roman" w:cs="Times New Roman" w:eastAsia="Times New Roman" w:hAnsi="Times New Roman"/>
          <w:sz w:val="17"/>
          <w:szCs w:val="17"/>
        </w:rPr>
        <w:t xml:space="preserve">[14] D. Ugarte Mostajo, “El deber de información médica y la responsabilidad civil en el Perú” [The duty of medical information and civil liability in Peru], Rev. Derecho y Ciencia Política, vol. 78, no. 1, pp. 45–62, 2021.</w:t>
      </w:r>
    </w:p>
    <w:p>
      <w:pPr>
        <w:spacing w:after="80"/>
        <w:ind w:left="230" w:hanging="230"/>
        <w:jc w:val="both"/>
      </w:pPr>
      <w:r>
        <w:rPr>
          <w:rFonts w:ascii="Times New Roman" w:cs="Times New Roman" w:eastAsia="Times New Roman" w:hAnsi="Times New Roman"/>
          <w:sz w:val="17"/>
          <w:szCs w:val="17"/>
        </w:rPr>
        <w:t xml:space="preserve">[15] L. Wang, Z. Zhang, D. Wang, W. Cao, X. Zhou, P. Zhang, J. Liu, X. Fan, and F. Tian, “Human-centered design and evaluation of AI-empowered clinical decision support systems: A systematic review,” Front. Comput. Sci., vol. 5, Art. no. 1187299, 2023.</w:t>
      </w:r>
    </w:p>
    <w:p>
      <w:pPr>
        <w:spacing w:after="80"/>
        <w:ind w:left="230" w:hanging="230"/>
        <w:jc w:val="both"/>
      </w:pPr>
      <w:r>
        <w:rPr>
          <w:rFonts w:ascii="Times New Roman" w:cs="Times New Roman" w:eastAsia="Times New Roman" w:hAnsi="Times New Roman"/>
          <w:sz w:val="17"/>
          <w:szCs w:val="17"/>
        </w:rPr>
        <w:t xml:space="preserve">[16] T. Wilhelm, A. Müller, and K. Berg, “Benefits and harms of algorithmic decision-making in health,” Lancet Digit. Health, vol. 7, no. 1, pp. e12–e20, 2025.</w:t>
      </w:r>
    </w:p>
    <w:p>
      <w:pPr>
        <w:spacing w:after="80"/>
        <w:ind w:left="230" w:hanging="230"/>
        <w:jc w:val="both"/>
      </w:pPr>
      <w:r>
        <w:rPr>
          <w:rFonts w:ascii="Times New Roman" w:cs="Times New Roman" w:eastAsia="Times New Roman" w:hAnsi="Times New Roman"/>
          <w:sz w:val="17"/>
          <w:szCs w:val="17"/>
        </w:rPr>
        <w:t xml:space="preserve">[17] A. A. Ayorinde, S. Williams, and S. Dosumu, “Barriers to the adoption of AI tools in healthcare,” Health Inform. J., vol. 28, no. 2, pp. 1–14, 2022.</w:t>
      </w:r>
    </w:p>
    <w:p>
      <w:pPr>
        <w:spacing w:after="80"/>
        <w:ind w:left="230" w:hanging="230"/>
        <w:jc w:val="both"/>
      </w:pPr>
      <w:r>
        <w:rPr>
          <w:rFonts w:ascii="Times New Roman" w:cs="Times New Roman" w:eastAsia="Times New Roman" w:hAnsi="Times New Roman"/>
          <w:sz w:val="17"/>
          <w:szCs w:val="17"/>
        </w:rPr>
        <w:t xml:space="preserve">[18] C. D. Manning, P. Raghavan, and H. Schütze, Introduction to Information Retrieval. Cambridge, U.K.: Cambridge Univ. Press, 2008.</w:t>
      </w:r>
    </w:p>
    <w:p>
      <w:pPr>
        <w:spacing w:after="80"/>
        <w:ind w:left="230" w:hanging="230"/>
        <w:jc w:val="both"/>
      </w:pPr>
      <w:r>
        <w:rPr>
          <w:rFonts w:ascii="Times New Roman" w:cs="Times New Roman" w:eastAsia="Times New Roman" w:hAnsi="Times New Roman"/>
          <w:sz w:val="17"/>
          <w:szCs w:val="17"/>
        </w:rPr>
        <w:t xml:space="preserve">[19] F. Ricci, L. Rokach, and B. Shapira, Eds., Recommender Systems Handbook, 2nd ed. New York, NY, USA: Springer, 2015.</w:t>
      </w:r>
    </w:p>
    <w:p>
      <w:pPr>
        <w:spacing w:after="80"/>
        <w:ind w:left="230" w:hanging="230"/>
        <w:jc w:val="both"/>
      </w:pPr>
      <w:r>
        <w:rPr>
          <w:rFonts w:ascii="Times New Roman" w:cs="Times New Roman" w:eastAsia="Times New Roman" w:hAnsi="Times New Roman"/>
          <w:sz w:val="17"/>
          <w:szCs w:val="17"/>
        </w:rPr>
        <w:t xml:space="preserve">[20] C. C. Aggarwal, Recommender Systems: The Textbook. New York, NY, USA: Springer, 2016.</w:t>
      </w:r>
    </w:p>
    <w:p>
      <w:pPr>
        <w:spacing w:after="80"/>
        <w:ind w:left="230" w:hanging="230"/>
        <w:jc w:val="both"/>
      </w:pPr>
      <w:r>
        <w:rPr>
          <w:rFonts w:ascii="Times New Roman" w:cs="Times New Roman" w:eastAsia="Times New Roman" w:hAnsi="Times New Roman"/>
          <w:sz w:val="17"/>
          <w:szCs w:val="17"/>
        </w:rPr>
        <w:t xml:space="preserve">[21] L. Breiman, “Random forests,” Mach. Learn., vol. 45, no. 1, pp. 5–32, 2001.</w:t>
      </w:r>
    </w:p>
    <w:p>
      <w:pPr>
        <w:spacing w:after="80"/>
        <w:ind w:left="230" w:hanging="230"/>
        <w:jc w:val="both"/>
      </w:pPr>
      <w:r>
        <w:rPr>
          <w:rFonts w:ascii="Times New Roman" w:cs="Times New Roman" w:eastAsia="Times New Roman" w:hAnsi="Times New Roman"/>
          <w:sz w:val="17"/>
          <w:szCs w:val="17"/>
        </w:rPr>
        <w:t xml:space="preserve">[22] S. C. Wongvibulsin, K. C. Wu, and S. L. Zeger, “Clinical risk prediction with Random Forests,” BMC Med. Res. Methodol., vol. 20, no. 1, Art. no. 1, 2020.</w:t>
      </w:r>
    </w:p>
    <w:p>
      <w:pPr>
        <w:spacing w:after="80"/>
        <w:ind w:left="230" w:hanging="230"/>
        <w:jc w:val="both"/>
      </w:pPr>
      <w:r>
        <w:rPr>
          <w:rFonts w:ascii="Times New Roman" w:cs="Times New Roman" w:eastAsia="Times New Roman" w:hAnsi="Times New Roman"/>
          <w:sz w:val="17"/>
          <w:szCs w:val="17"/>
        </w:rPr>
        <w:t xml:space="preserve">[23] J. E. Wallace, D. A. Blaas, and R. A. Wyatt, “Misuse and abuse of variable importance in Random Forest,” PLOS ONE, vol. 18, no. 3, Art. no. e0283994, 2023.</w:t>
      </w:r>
    </w:p>
    <w:p>
      <w:pPr>
        <w:spacing w:after="80"/>
        <w:ind w:left="230" w:hanging="230"/>
        <w:jc w:val="both"/>
      </w:pPr>
      <w:r>
        <w:rPr>
          <w:rFonts w:ascii="Times New Roman" w:cs="Times New Roman" w:eastAsia="Times New Roman" w:hAnsi="Times New Roman"/>
          <w:sz w:val="17"/>
          <w:szCs w:val="17"/>
        </w:rPr>
        <w:t xml:space="preserve">[24] S. M. Lundberg and S.-I. Lee, “A unified approach to interpreting model predictions,” in Proc. NIPS, vol. 30, 2017, pp. 4765–4774.</w:t>
      </w:r>
    </w:p>
    <w:p>
      <w:pPr>
        <w:spacing w:after="80"/>
        <w:ind w:left="230" w:hanging="230"/>
        <w:jc w:val="both"/>
      </w:pPr>
      <w:r>
        <w:rPr>
          <w:rFonts w:ascii="Times New Roman" w:cs="Times New Roman" w:eastAsia="Times New Roman" w:hAnsi="Times New Roman"/>
          <w:sz w:val="17"/>
          <w:szCs w:val="17"/>
        </w:rPr>
        <w:t xml:space="preserve">[25] M. T. Ribeiro, S. Singh, and C. Guestrin, “‘Why should I trust you?’: Explaining the predictions of any classifier,” in Proc. 22nd ACM SIGKDD, 2016, pp. 1135–1144.</w:t>
      </w:r>
    </w:p>
    <w:p>
      <w:pPr>
        <w:spacing w:after="80"/>
        <w:ind w:left="230" w:hanging="230"/>
        <w:jc w:val="both"/>
      </w:pPr>
      <w:r>
        <w:rPr>
          <w:rFonts w:ascii="Times New Roman" w:cs="Times New Roman" w:eastAsia="Times New Roman" w:hAnsi="Times New Roman"/>
          <w:sz w:val="17"/>
          <w:szCs w:val="17"/>
        </w:rPr>
        <w:t xml:space="preserve">[26] T. Mikolov, I. Sutskever, K. Chen, G. Corrado, and J. Dean, “Distributed representations of words and phrases and their compositionality,” in Proc. NIPS, vol. 26, 2013, pp. 3111–3119.</w:t>
      </w:r>
    </w:p>
    <w:p>
      <w:pPr>
        <w:spacing w:after="80"/>
        <w:ind w:left="230" w:hanging="230"/>
        <w:jc w:val="both"/>
      </w:pPr>
      <w:r>
        <w:rPr>
          <w:rFonts w:ascii="Times New Roman" w:cs="Times New Roman" w:eastAsia="Times New Roman" w:hAnsi="Times New Roman"/>
          <w:sz w:val="17"/>
          <w:szCs w:val="17"/>
        </w:rPr>
        <w:t xml:space="preserve">[27] J. Brooke, “SUS: A ‘quick and dirty’ usability scale,” in Usability Evaluation in Industry, P. W. Jordan et al., Eds. London, U.K.: Taylor &amp; Francis, 1996, pp. 189–194.</w:t>
      </w:r>
    </w:p>
    <w:sectPr>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2026-06-25T20:28:13.484Z</dcterms:created>
  <dcterms:modified xsi:type="dcterms:W3CDTF">2026-06-25T20:28:13.484Z</dcterms:modified>
</cp:coreProperties>
</file>

<file path=docProps/custom.xml><?xml version="1.0" encoding="utf-8"?>
<Properties xmlns="http://schemas.openxmlformats.org/officeDocument/2006/custom-properties" xmlns:vt="http://schemas.openxmlformats.org/officeDocument/2006/docPropsVTypes"/>
</file>