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i/>
          <w:iCs/>
          <w:sz w:val="16"/>
          <w:szCs w:val="16"/>
        </w:rPr>
        <w:t xml:space="preserve">Proc. of the International Conference on Electrical, Computer, Communications and Mechatronics Engineering (ICECCME 2026)</w:t>
      </w:r>
    </w:p>
    <w:p>
      <w:pPr>
        <w:spacing w:after="220"/>
        <w:jc w:val="center"/>
      </w:pPr>
      <w:r>
        <w:rPr>
          <w:rFonts w:ascii="Times New Roman" w:cs="Times New Roman" w:eastAsia="Times New Roman" w:hAnsi="Times New Roman"/>
          <w:i/>
          <w:iCs/>
          <w:sz w:val="16"/>
          <w:szCs w:val="16"/>
        </w:rPr>
        <w:t xml:space="preserve">15–17 October 2026, Bali, Indonesia</w:t>
      </w:r>
    </w:p>
    <w:p>
      <w:pPr>
        <w:spacing w:after="200"/>
        <w:jc w:val="center"/>
      </w:pPr>
      <w:r>
        <w:rPr>
          <w:rFonts w:ascii="Times New Roman" w:cs="Times New Roman" w:eastAsia="Times New Roman" w:hAnsi="Times New Roman"/>
          <w:b/>
          <w:bCs/>
          <w:sz w:val="28"/>
          <w:szCs w:val="28"/>
        </w:rPr>
        <w:t xml:space="preserve">Sinapsistencia: Mediación Médico-Legal con Aprendizaje Automático Explicable para el Sector Salud del Perú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Augusto Mathias Leonardo Vásquez Requejo</w:t>
            </w:r>
          </w:p>
          <w:p>
            <w:pPr>
              <w:spacing w:after="0"/>
              <w:jc w:val="center"/>
            </w:pPr>
            <w:r>
              <w:rPr>
                <w:rFonts w:ascii="Times New Roman" w:cs="Times New Roman" w:eastAsia="Times New Roman" w:hAnsi="Times New Roman"/>
                <w:b w:val="false"/>
                <w:bCs w:val="false"/>
                <w:i w:val="false"/>
                <w:iCs w:val="false"/>
                <w:sz w:val="18"/>
                <w:szCs w:val="18"/>
              </w:rPr>
              <w:t xml:space="preserve">Escuela de Ingeniería de Sistemas y Computación</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Perú</w:t>
            </w:r>
          </w:p>
          <w:p>
            <w:pPr>
              <w:spacing w:after="0"/>
              <w:jc w:val="center"/>
            </w:pPr>
            <w:r>
              <w:rPr>
                <w:rFonts w:ascii="Times New Roman" w:cs="Times New Roman" w:eastAsia="Times New Roman" w:hAnsi="Times New Roman"/>
                <w:b w:val="false"/>
                <w:bCs w:val="false"/>
                <w:i w:val="false"/>
                <w:iCs w:val="false"/>
                <w:sz w:val="18"/>
                <w:szCs w:val="18"/>
              </w:rPr>
              <w:t xml:space="preserve">u20221a955@upc.edu.pe</w:t>
            </w:r>
          </w:p>
        </w:tc>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Renato Germán Reyes Valenzuela</w:t>
            </w:r>
          </w:p>
          <w:p>
            <w:pPr>
              <w:spacing w:after="0"/>
              <w:jc w:val="center"/>
            </w:pPr>
            <w:r>
              <w:rPr>
                <w:rFonts w:ascii="Times New Roman" w:cs="Times New Roman" w:eastAsia="Times New Roman" w:hAnsi="Times New Roman"/>
                <w:b w:val="false"/>
                <w:bCs w:val="false"/>
                <w:i w:val="false"/>
                <w:iCs w:val="false"/>
                <w:sz w:val="18"/>
                <w:szCs w:val="18"/>
              </w:rPr>
              <w:t xml:space="preserve">Escuela de Ingeniería de Sistemas y Computación</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Perú</w:t>
            </w:r>
          </w:p>
          <w:p>
            <w:pPr>
              <w:spacing w:after="0"/>
              <w:jc w:val="center"/>
            </w:pPr>
            <w:r>
              <w:rPr>
                <w:rFonts w:ascii="Times New Roman" w:cs="Times New Roman" w:eastAsia="Times New Roman" w:hAnsi="Times New Roman"/>
                <w:b w:val="false"/>
                <w:bCs w:val="false"/>
                <w:i w:val="false"/>
                <w:iCs w:val="false"/>
                <w:sz w:val="18"/>
                <w:szCs w:val="18"/>
              </w:rPr>
              <w:t xml:space="preserve">u20221b471@upc.edu.pe</w:t>
            </w:r>
          </w:p>
        </w:tc>
      </w:tr>
    </w:tbl>
    <w:p>
      <w:pPr>
        <w:spacing w:after="200"/>
      </w:pPr>
    </w:p>
    <w:p>
      <w:pPr>
        <w:sectPr>
          <w:pgSz w:w="12240" w:h="15840" w:orient="portrait"/>
          <w:pgMar w:top="1080" w:right="1080" w:bottom="1440" w:left="1080" w:header="708" w:footer="708" w:gutter="0"/>
          <w:pgNumType/>
          <w:cols w:num="1"/>
          <w:docGrid w:linePitch="360"/>
        </w:sectPr>
      </w:pPr>
    </w:p>
    <w:p>
      <w:pPr>
        <w:spacing w:after="120" w:line="232" w:lineRule="auto"/>
        <w:ind w:firstLine="230"/>
        <w:jc w:val="both"/>
      </w:pPr>
      <w:r>
        <w:rPr>
          <w:rFonts w:ascii="Times New Roman" w:cs="Times New Roman" w:eastAsia="Times New Roman" w:hAnsi="Times New Roman"/>
          <w:b/>
          <w:bCs/>
          <w:i/>
          <w:iCs/>
          <w:sz w:val="19"/>
          <w:szCs w:val="19"/>
        </w:rPr>
        <w:t xml:space="preserve">Resumen—</w:t>
      </w:r>
      <w:r>
        <w:rPr>
          <w:rFonts w:ascii="Times New Roman" w:cs="Times New Roman" w:eastAsia="Times New Roman" w:hAnsi="Times New Roman"/>
          <w:i/>
          <w:iCs/>
          <w:sz w:val="19"/>
          <w:szCs w:val="19"/>
        </w:rPr>
        <w:t xml:space="preserve"> Los profesionales de la salud en el Perú enfrentan una exposición creciente a reclamos por presunta mala praxis y, con frecuencia, carecen de acceso estructurado y oportuno a asesoría legal especializada, por lo que recurren a canales informales con demoras de hasta 72 horas y sin trazabilidad auditable. El objetivo de este trabajo es diseñar y validar una plataforma web que conecte de forma trazable y explicable a los médicos con abogados especializados en derecho médico. Como aporte se propone Sinapsistencia, un sistema de microservicios que integra, en un único flujo digital, la estimación de riesgo legal mediante un modelo de bosques aleatorios y la recomendación de abogados mediante recuperación de información basada en la similitud del coseno, ambas explicables y con respaldo ante arranque en frío. El método se evaluó fuera de línea sobre seis mil casos sintéticos, generados con reglas de negocio y ruido controlado conforme a la normativa peruana de protección de datos, y mediante cinco suites automatizadas de pruebas de integración. El modelo de riesgo alcanzó una precisión macro de 0.62, una exhaustividad de 0.60 y un valor F1 de 0.60, con una latencia media de inferencia inferior a 200 ms, mientras que las pruebas de integración superaron el 100 % de éxito. Se concluye que un enfoque híbrido y explicable es técnicamente viable para apoyar, sin sustituir, la toma de decisiones médico-legales en un dominio sensible a la responsabilidad profesional.</w:t>
      </w:r>
    </w:p>
    <w:p>
      <w:pPr>
        <w:spacing w:after="200"/>
        <w:ind w:firstLine="230"/>
        <w:jc w:val="both"/>
      </w:pPr>
      <w:r>
        <w:rPr>
          <w:rFonts w:ascii="Times New Roman" w:cs="Times New Roman" w:eastAsia="Times New Roman" w:hAnsi="Times New Roman"/>
          <w:b/>
          <w:bCs/>
          <w:i/>
          <w:iCs/>
          <w:sz w:val="19"/>
          <w:szCs w:val="19"/>
        </w:rPr>
        <w:t xml:space="preserve">Palabras clave—</w:t>
      </w:r>
      <w:r>
        <w:rPr>
          <w:rFonts w:ascii="Times New Roman" w:cs="Times New Roman" w:eastAsia="Times New Roman" w:hAnsi="Times New Roman"/>
          <w:i/>
          <w:iCs/>
          <w:sz w:val="19"/>
          <w:szCs w:val="19"/>
        </w:rPr>
        <w:t xml:space="preserve"> Asesoramiento médico-legal; aprendizaje automático explicable; bosques aleatorios; recuperación de información; informática en salud; sector salud peruano.</w:t>
      </w:r>
    </w:p>
    <w:p>
      <w:pPr>
        <w:spacing w:after="140" w:before="220"/>
        <w:jc w:val="center"/>
      </w:pPr>
      <w:r>
        <w:rPr>
          <w:rFonts w:ascii="Times New Roman" w:cs="Times New Roman" w:eastAsia="Times New Roman" w:hAnsi="Times New Roman"/>
          <w:b/>
          <w:bCs/>
          <w:sz w:val="19"/>
          <w:szCs w:val="19"/>
        </w:rPr>
        <w:t xml:space="preserve">I. INTRODUCCIÓN</w:t>
      </w:r>
    </w:p>
    <w:p>
      <w:pPr>
        <w:spacing w:after="120" w:line="232" w:lineRule="auto"/>
        <w:ind w:firstLine="230"/>
        <w:jc w:val="both"/>
      </w:pPr>
      <w:r>
        <w:rPr>
          <w:rFonts w:ascii="Times New Roman" w:cs="Times New Roman" w:eastAsia="Times New Roman" w:hAnsi="Times New Roman"/>
          <w:sz w:val="19"/>
          <w:szCs w:val="19"/>
        </w:rPr>
        <w:t xml:space="preserve">En el Perú, los profesionales de la salud enfrentan una exposición creciente a reclamos por presunta mala praxis y negligencia médica. La Superintendencia Nacional de Salud (SUSALUD) reportó más de 163 000 atenciones relacionadas con la vulneración de derechos en salud solo durante 2024, cifra que evidencia una demanda sostenida de mecanismos formales de recurso [1]. En paralelo, la Defensoría del Pueblo ha identificado brechas de gestión y de capacidad resolutiva en institutos especializados de salud [2], lo que confirma la necesidad de mecanismos institucionales más robustos para gestionar el riesgo médico-legal. A nivel internacional, estudios en cirugía pediátrica y en ginecología y obstetricia coinciden en que la evaluación clínica inadecuada, los errores de comunicación y la documentación deficiente son los factores contributivos más frecuentes en las reclamaciones por mala praxis [3], [4]. Este escenario incrementa la vulnerabilidad jurídico-profesional del personal médico, favorece la medicina defensiva [5] y dificulta la estructuración temprana del caso ante un eventual litigio [6].</w:t>
      </w:r>
    </w:p>
    <w:p>
      <w:pPr>
        <w:spacing w:after="120" w:line="232" w:lineRule="auto"/>
        <w:ind w:firstLine="230"/>
        <w:jc w:val="both"/>
      </w:pPr>
      <w:r>
        <w:rPr>
          <w:rFonts w:ascii="Times New Roman" w:cs="Times New Roman" w:eastAsia="Times New Roman" w:hAnsi="Times New Roman"/>
          <w:sz w:val="19"/>
          <w:szCs w:val="19"/>
        </w:rPr>
        <w:t xml:space="preserve">El problema es relevante porque la demora en la orientación legal agrava esa vulnerabilidad. Ante una situación de presunta mala praxis, el acceso del médico a asesoría especializada depende, en la práctica, de canales informales —mensajería instantánea, llamadas telefónicas o correo electrónico—, con demoras estimadas de 48 a 72 horas y escasa trazabilidad auditable [7], [8]. El problema es difícil porque los enfoques digitales ingenuos fracasan por tres razones propias del dominio: (i) los datos médico-legales son sensibles y están sujetos a regulación estricta de protección de datos personales [9]; (ii) las recomendaciones de caja negra resultan éticamente inaceptables cuando está en juego la responsabilidad profesional [10], [11]; y (iii) la ausencia de historiales densos de interacción entre médicos y abogados impide el filtrado colaborativo y exige soluciones robustas frente al arranque en frío.</w:t>
      </w:r>
    </w:p>
    <w:p>
      <w:pPr>
        <w:spacing w:after="120" w:line="232" w:lineRule="auto"/>
        <w:ind w:firstLine="230"/>
        <w:jc w:val="both"/>
      </w:pPr>
      <w:r>
        <w:rPr>
          <w:rFonts w:ascii="Times New Roman" w:cs="Times New Roman" w:eastAsia="Times New Roman" w:hAnsi="Times New Roman"/>
          <w:sz w:val="19"/>
          <w:szCs w:val="19"/>
        </w:rPr>
        <w:t xml:space="preserve">El problema no ha sido resuelto porque las soluciones existentes abordan únicamente fragmentos. Las historias clínicas electrónicas resuelven el registro asistencial, pero no la mediación legal. Plataformas legales genéricas como Legalify conectan usuarios con abogados según el tipo de problema y la ubicación, sin clasificación médico-legal ni aprendizaje automático [12]; el Medical Legal Center ofrece asesoría especializada bajo un modelo de membresía, pero sin automatización de la derivación ni trazabilidad digital del caso [13]. Ninguna integra, en un único flujo digital orientado al profesional de salud, la clasificación supervisada de consultas, el emparejamiento médico-abogado basado en contenido y el seguimiento trazable.</w:t>
      </w:r>
    </w:p>
    <w:p>
      <w:pPr>
        <w:spacing w:after="120" w:line="232" w:lineRule="auto"/>
        <w:ind w:firstLine="230"/>
        <w:jc w:val="both"/>
      </w:pPr>
      <w:r>
        <w:rPr>
          <w:rFonts w:ascii="Times New Roman" w:cs="Times New Roman" w:eastAsia="Times New Roman" w:hAnsi="Times New Roman"/>
          <w:sz w:val="19"/>
          <w:szCs w:val="19"/>
        </w:rPr>
        <w:t xml:space="preserve">Para cerrar esta brecha se propone Sinapsistencia, una plataforma web de mediación médico-legal cuyos componentes clave son tres portales diferenciados por rol —médico, abogado y administrador—, un backend que aplica reglas de pertenencia en la capa de servicio, un servicio de aprendizaje automático que estima el riesgo legal y recomienda abogados, y un registro de auditoría de las acciones críticas. Las contribuciones de este trabajo, detalladas en la Sección III, se resumen en cuatro aportes: C1, la integración de clasificación de riesgo, emparejamiento y trazabilidad en un único flujo; C2, la separación de la inferencia en un microservicio con explicabilidad persistente; C3, un mecanismo de respaldo ante arranque en frío; y C4, un conjunto de datos sintético reproducible alineado a la normativa peruana de protección de datos. Las limitaciones actuales incluyen el uso de datos de entrenamiento sintéticos y una validación piloto sin historiales reales de pacientes.</w:t>
      </w:r>
    </w:p>
    <w:p>
      <w:pPr>
        <w:spacing w:after="120" w:line="232" w:lineRule="auto"/>
        <w:ind w:firstLine="230"/>
        <w:jc w:val="both"/>
      </w:pPr>
      <w:r>
        <w:rPr>
          <w:rFonts w:ascii="Times New Roman" w:cs="Times New Roman" w:eastAsia="Times New Roman" w:hAnsi="Times New Roman"/>
          <w:sz w:val="19"/>
          <w:szCs w:val="19"/>
        </w:rPr>
        <w:t xml:space="preserve">El resto de este artículo se organiza de la siguiente manera: la Sección II revisa la literatura relacionada; la Sección III presenta el aporte; la Sección IV describe la solución propuesta, su arquitectura y sus algoritmos; la Sección V detalla el protocolo experimental, los resultados y su discusión; y la Sección VI expone las conclusiones y las perspectivas de trabajo futuro.</w:t>
      </w:r>
    </w:p>
    <w:p>
      <w:pPr>
        <w:spacing w:after="140" w:before="220"/>
        <w:jc w:val="center"/>
      </w:pPr>
      <w:r>
        <w:rPr>
          <w:rFonts w:ascii="Times New Roman" w:cs="Times New Roman" w:eastAsia="Times New Roman" w:hAnsi="Times New Roman"/>
          <w:b/>
          <w:bCs/>
          <w:sz w:val="19"/>
          <w:szCs w:val="19"/>
        </w:rPr>
        <w:t xml:space="preserve">II. REVISIÓN DE LITERATURA</w:t>
      </w:r>
    </w:p>
    <w:p>
      <w:pPr>
        <w:spacing w:after="120" w:line="232" w:lineRule="auto"/>
        <w:ind w:firstLine="230"/>
        <w:jc w:val="both"/>
      </w:pPr>
      <w:r>
        <w:rPr>
          <w:rFonts w:ascii="Times New Roman" w:cs="Times New Roman" w:eastAsia="Times New Roman" w:hAnsi="Times New Roman"/>
          <w:sz w:val="19"/>
          <w:szCs w:val="19"/>
        </w:rPr>
        <w:t xml:space="preserve">La investigación sobre vulnerabilidad médico-legal, inteligencia artificial confiable en contextos clínicos y legales, y técnicas de emparejamiento y modelado de riesgo fundamenta el diseño de Sinapsistencia. A continuación se agrupan los antecedentes en tres líneas y se comparan con la propuesta.</w:t>
      </w:r>
    </w:p>
    <w:p>
      <w:pPr>
        <w:spacing w:after="80" w:before="120"/>
        <w:jc w:val="both"/>
      </w:pPr>
      <w:r>
        <w:rPr>
          <w:rFonts w:ascii="Times New Roman" w:cs="Times New Roman" w:eastAsia="Times New Roman" w:hAnsi="Times New Roman"/>
          <w:b/>
          <w:bCs/>
          <w:i/>
          <w:iCs/>
          <w:sz w:val="19"/>
          <w:szCs w:val="19"/>
        </w:rPr>
        <w:t xml:space="preserve">A. Negligencia médica y responsabilidad digital</w:t>
      </w:r>
    </w:p>
    <w:p>
      <w:pPr>
        <w:spacing w:after="120" w:line="232" w:lineRule="auto"/>
        <w:ind w:firstLine="230"/>
        <w:jc w:val="both"/>
      </w:pPr>
      <w:r>
        <w:rPr>
          <w:rFonts w:ascii="Times New Roman" w:cs="Times New Roman" w:eastAsia="Times New Roman" w:hAnsi="Times New Roman"/>
          <w:sz w:val="19"/>
          <w:szCs w:val="19"/>
        </w:rPr>
        <w:t xml:space="preserve">Miziara y Miziara [5] revisan errores médicos, negligencia y medicina defensiva, y destacan la documentación y la comunicación como puntos recurrentes de falla. Prieto, Lamas y Rodríguez [3] identifican la evaluación clínica inadecuada y los errores de comunicación como los factores contributivos más frecuentes en cirugía pediátrica, mientras que Gunenc et al. [4] vinculan el síndrome de estrés por mala praxis con la medicina defensiva en ginecología y obstetricia. Ugarte Mostajo [14] analiza el deber de información como eje de la responsabilidad civil médica en el Perú. Rowland et al. [7] señalan que los canales digitales no estructurados generan riesgos de responsabilidad y falta de gobernanza, y Wong et al. [8] muestran que los problemas procedimentales y documentales dominan los patrones de litigio en los servicios de urgencia. Estos estudios justifican la captura estructurada del caso y el versionado documental, pero ninguno propone un mecanismo digital que conecte directamente a médicos con abogados.</w:t>
      </w:r>
    </w:p>
    <w:p>
      <w:pPr>
        <w:spacing w:after="80" w:before="120"/>
        <w:jc w:val="both"/>
      </w:pPr>
      <w:r>
        <w:rPr>
          <w:rFonts w:ascii="Times New Roman" w:cs="Times New Roman" w:eastAsia="Times New Roman" w:hAnsi="Times New Roman"/>
          <w:b/>
          <w:bCs/>
          <w:i/>
          <w:iCs/>
          <w:sz w:val="19"/>
          <w:szCs w:val="19"/>
        </w:rPr>
        <w:t xml:space="preserve">B. Inteligencia artificial confiable en contextos clínicos y legales</w:t>
      </w:r>
    </w:p>
    <w:p>
      <w:pPr>
        <w:spacing w:after="120" w:line="232" w:lineRule="auto"/>
        <w:ind w:firstLine="230"/>
        <w:jc w:val="both"/>
      </w:pPr>
      <w:r>
        <w:rPr>
          <w:rFonts w:ascii="Times New Roman" w:cs="Times New Roman" w:eastAsia="Times New Roman" w:hAnsi="Times New Roman"/>
          <w:sz w:val="19"/>
          <w:szCs w:val="19"/>
        </w:rPr>
        <w:t xml:space="preserve">Jones, Thornton y Wyatt [10] reportan que la confianza de los clínicos en el apoyo a la decisión mediante inteligencia artificial depende de la transparencia y del control humano sobre el resultado. Wang et al. [15] revisan sistemáticamente el diseño centrado en el humano para sistemas clínicos con inteligencia artificial y recomiendan transparencia y límites explícitos de uso. Scott et al. [11] señalan que la falta de explicaciones constituye una barrera relevante para la adopción clínica a gran escala, observación que comparten Wilhelm et al. [16] y Ayorinde et al. [17] al advertir sobre los riesgos de una adopción institucional sin validación rigurosa previa. Sinapsistencia aborda esta brecha al persistir factores de riesgo derivados de la importancia de las variables del modelo y al mostrar advertencias explícitas sobre la naturaleza no determinista de sus salidas.</w:t>
      </w:r>
    </w:p>
    <w:p>
      <w:pPr>
        <w:spacing w:after="80" w:before="120"/>
        <w:jc w:val="both"/>
      </w:pPr>
      <w:r>
        <w:rPr>
          <w:rFonts w:ascii="Times New Roman" w:cs="Times New Roman" w:eastAsia="Times New Roman" w:hAnsi="Times New Roman"/>
          <w:b/>
          <w:bCs/>
          <w:i/>
          <w:iCs/>
          <w:sz w:val="19"/>
          <w:szCs w:val="19"/>
        </w:rPr>
        <w:t xml:space="preserve">C. Técnicas de emparejamiento y modelado de riesgo</w:t>
      </w:r>
    </w:p>
    <w:p>
      <w:pPr>
        <w:spacing w:after="120" w:line="232" w:lineRule="auto"/>
        <w:ind w:firstLine="230"/>
        <w:jc w:val="both"/>
      </w:pPr>
      <w:r>
        <w:rPr>
          <w:rFonts w:ascii="Times New Roman" w:cs="Times New Roman" w:eastAsia="Times New Roman" w:hAnsi="Times New Roman"/>
          <w:sz w:val="19"/>
          <w:szCs w:val="19"/>
        </w:rPr>
        <w:t xml:space="preserve">Manning, Raghavan y Schütze [18] y Ricci, Rokach y Shapira [19] establecen la recomendación basada en contenido —incluida la frecuencia de términos— como una estrategia eficaz frente al arranque en frío, relevante para el emparejamiento médico-abogado cuando no existen historiales densos de interacción. Aggarwal [20] diferencia el filtrado colaborativo de la recomendación basada en contenido y de los enfoques híbridos, y confirma que el primero resulta inapropiado cuando el sistema carece de datos históricos. Los clasificadores de bosques aleatorios, formalizados por Breiman [21] y validados en predicción de riesgo clínico por Wongvibulsin, Wu y Zeger [22], permanecen como línea base robusta para la puntuación tabular de riesgo con contribuciones interpretables, aunque Wallace, Blaas y Wyatt [23] advierten sobre los riesgos de interpretar de forma ingenua la importancia de las variables sin un análisis de robustez adicional. A diferencia de los marketplaces legales genéricos y de los sistemas de apoyo a la decisión clínica existentes, Sinapsistencia acopla ambas técnicas en un flujo específico para el sector salud, con datos simulados alineados a la normativa peruana de protección de datos personales [9].</w:t>
      </w:r>
    </w:p>
    <w:p>
      <w:pPr>
        <w:spacing w:after="120" w:line="232" w:lineRule="auto"/>
        <w:ind w:firstLine="230"/>
        <w:jc w:val="both"/>
      </w:pPr>
      <w:r>
        <w:rPr>
          <w:rFonts w:ascii="Times New Roman" w:cs="Times New Roman" w:eastAsia="Times New Roman" w:hAnsi="Times New Roman"/>
          <w:sz w:val="19"/>
          <w:szCs w:val="19"/>
        </w:rPr>
        <w:t xml:space="preserve">La Tabla I resume esta comparación frente a las soluciones digitales médico-legales más cercanas. Ningún antecedente integra de manera simultánea clasificación de riesgo explicable, emparejamiento por contenido y trazabilidad auditable orientada al profesional de salud peruano, lo que motiva el aporte descrito en la Sección III.</w:t>
      </w:r>
    </w:p>
    <w:p>
      <w:pPr>
        <w:spacing w:after="40" w:before="100"/>
        <w:jc w:val="center"/>
      </w:pPr>
      <w:r>
        <w:rPr>
          <w:rFonts w:ascii="Times New Roman" w:cs="Times New Roman" w:eastAsia="Times New Roman" w:hAnsi="Times New Roman"/>
          <w:sz w:val="14"/>
          <w:szCs w:val="14"/>
        </w:rPr>
        <w:t xml:space="preserve">TABLA I. COMPARACIÓN DE SOLUCIONES MÉDICO-LEGALES DIGITALES</w:t>
      </w:r>
    </w:p>
    <w:p>
      <w:pPr>
        <w:spacing w:after="16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50"/>
        <w:gridCol w:w="850"/>
      </w:tblGrid>
      <w:tr>
        <w:trPr>
          <w:tblHeader/>
        </w:trPr>
        <w:tc>
          <w:tcPr>
            <w:tcW w:type="dxa" w:w="15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Solución</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Clasif. riesgo</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Emparej. contenido</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Trazab.</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Explic.</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Historias clínicas electrónicas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Legalify</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Medical Legal Center</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Sist. apoyo decisión clínica</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 (clínico)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Variable</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Sinapsistencia (propuesta)</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r>
    </w:tbl>
    <w:p>
      <w:pPr>
        <w:spacing w:after="140" w:before="220"/>
        <w:jc w:val="center"/>
      </w:pPr>
      <w:r>
        <w:rPr>
          <w:rFonts w:ascii="Times New Roman" w:cs="Times New Roman" w:eastAsia="Times New Roman" w:hAnsi="Times New Roman"/>
          <w:b/>
          <w:bCs/>
          <w:sz w:val="19"/>
          <w:szCs w:val="19"/>
        </w:rPr>
        <w:t xml:space="preserve">III. APORTE</w:t>
      </w:r>
    </w:p>
    <w:p>
      <w:pPr>
        <w:spacing w:after="120" w:line="232" w:lineRule="auto"/>
        <w:ind w:firstLine="230"/>
        <w:jc w:val="both"/>
      </w:pPr>
      <w:r>
        <w:rPr>
          <w:rFonts w:ascii="Times New Roman" w:cs="Times New Roman" w:eastAsia="Times New Roman" w:hAnsi="Times New Roman"/>
          <w:sz w:val="19"/>
          <w:szCs w:val="19"/>
        </w:rPr>
        <w:t xml:space="preserve">El aporte de este trabajo es un artefacto de software —la plataforma Sinapsistencia— que resuelve la mediación médico-legal mediante la integración de aprendizaje automático explicable, emparejamiento por contenido y trazabilidad auditable en un único flujo digital. Frente a los antecedentes de la Sección II, el valor añadido se concreta en cuatro contribuciones:</w:t>
      </w:r>
    </w:p>
    <w:p>
      <w:pPr>
        <w:spacing w:after="100"/>
        <w:ind w:left="230" w:hanging="230"/>
        <w:jc w:val="both"/>
      </w:pPr>
      <w:r>
        <w:rPr>
          <w:rFonts w:ascii="Times New Roman" w:cs="Times New Roman" w:eastAsia="Times New Roman" w:hAnsi="Times New Roman"/>
          <w:b/>
          <w:bCs/>
          <w:sz w:val="19"/>
          <w:szCs w:val="19"/>
        </w:rPr>
        <w:t xml:space="preserve">C1. Flujo integrado de mediación. </w:t>
      </w:r>
      <w:r>
        <w:rPr>
          <w:rFonts w:ascii="Times New Roman" w:cs="Times New Roman" w:eastAsia="Times New Roman" w:hAnsi="Times New Roman"/>
          <w:sz w:val="19"/>
          <w:szCs w:val="19"/>
        </w:rPr>
        <w:t xml:space="preserve">Se unifican, en un solo proceso digital orientado al profesional de salud, la clasificación de riesgo legal de la consulta, la recomendación del abogado más pertinente y el seguimiento trazable del caso, capacidades que la literatura y el mercado abordan solo de forma fragmentada.</w:t>
      </w:r>
    </w:p>
    <w:p>
      <w:pPr>
        <w:spacing w:after="100"/>
        <w:ind w:left="230" w:hanging="230"/>
        <w:jc w:val="both"/>
      </w:pPr>
      <w:r>
        <w:rPr>
          <w:rFonts w:ascii="Times New Roman" w:cs="Times New Roman" w:eastAsia="Times New Roman" w:hAnsi="Times New Roman"/>
          <w:b/>
          <w:bCs/>
          <w:sz w:val="19"/>
          <w:szCs w:val="19"/>
        </w:rPr>
        <w:t xml:space="preserve">C2. Inferencia explicable y desacoplada. </w:t>
      </w:r>
      <w:r>
        <w:rPr>
          <w:rFonts w:ascii="Times New Roman" w:cs="Times New Roman" w:eastAsia="Times New Roman" w:hAnsi="Times New Roman"/>
          <w:sz w:val="19"/>
          <w:szCs w:val="19"/>
        </w:rPr>
        <w:t xml:space="preserve">La inferencia de aprendizaje automático se aísla en un microservicio independiente que persiste, junto con cada predicción, los factores de riesgo derivados de la importancia de las variables, lo que permite presentar las salidas como apoyo no determinista a la decisión y atender las exigencias éticas del dominio.</w:t>
      </w:r>
    </w:p>
    <w:p>
      <w:pPr>
        <w:spacing w:after="100"/>
        <w:ind w:left="230" w:hanging="230"/>
        <w:jc w:val="both"/>
      </w:pPr>
      <w:r>
        <w:rPr>
          <w:rFonts w:ascii="Times New Roman" w:cs="Times New Roman" w:eastAsia="Times New Roman" w:hAnsi="Times New Roman"/>
          <w:b/>
          <w:bCs/>
          <w:sz w:val="19"/>
          <w:szCs w:val="19"/>
        </w:rPr>
        <w:t xml:space="preserve">C3. Respaldo ante arranque en frío. </w:t>
      </w:r>
      <w:r>
        <w:rPr>
          <w:rFonts w:ascii="Times New Roman" w:cs="Times New Roman" w:eastAsia="Times New Roman" w:hAnsi="Times New Roman"/>
          <w:sz w:val="19"/>
          <w:szCs w:val="19"/>
        </w:rPr>
        <w:t xml:space="preserve">Se incorpora un mecanismo de degradación controlada que, cuando el servicio de aprendizaje automático no está disponible, ordena a los abogados por coincidencia de área médica, garantizando la continuidad del servicio sin depender de historiales densos de interacción.</w:t>
      </w:r>
    </w:p>
    <w:p>
      <w:pPr>
        <w:spacing w:after="100"/>
        <w:ind w:left="230" w:hanging="230"/>
        <w:jc w:val="both"/>
      </w:pPr>
      <w:r>
        <w:rPr>
          <w:rFonts w:ascii="Times New Roman" w:cs="Times New Roman" w:eastAsia="Times New Roman" w:hAnsi="Times New Roman"/>
          <w:b/>
          <w:bCs/>
          <w:sz w:val="19"/>
          <w:szCs w:val="19"/>
        </w:rPr>
        <w:t xml:space="preserve">C4. Conjunto de datos sintético reproducible. </w:t>
      </w:r>
      <w:r>
        <w:rPr>
          <w:rFonts w:ascii="Times New Roman" w:cs="Times New Roman" w:eastAsia="Times New Roman" w:hAnsi="Times New Roman"/>
          <w:sz w:val="19"/>
          <w:szCs w:val="19"/>
        </w:rPr>
        <w:t xml:space="preserve">Se construye un conjunto de datos de seis mil casos generado mediante reglas de negocio explícitas y ruido controlado, alineado con la Ley N.º 29733 de protección de datos personales [9], que habilita el entrenamiento y la evaluación del modelo sin exponer información identificable de pacientes.</w:t>
      </w:r>
    </w:p>
    <w:p>
      <w:pPr>
        <w:spacing w:after="120" w:line="232" w:lineRule="auto"/>
        <w:ind w:firstLine="230"/>
        <w:jc w:val="both"/>
      </w:pPr>
      <w:r>
        <w:rPr>
          <w:rFonts w:ascii="Times New Roman" w:cs="Times New Roman" w:eastAsia="Times New Roman" w:hAnsi="Times New Roman"/>
          <w:sz w:val="19"/>
          <w:szCs w:val="19"/>
        </w:rPr>
        <w:t xml:space="preserve">Estas contribuciones se materializan en la arquitectura y los algoritmos descritos en la Sección IV, y se validan empíricamente en la Sección V.</w:t>
      </w:r>
    </w:p>
    <w:p>
      <w:pPr>
        <w:spacing w:after="140" w:before="220"/>
        <w:jc w:val="center"/>
      </w:pPr>
      <w:r>
        <w:rPr>
          <w:rFonts w:ascii="Times New Roman" w:cs="Times New Roman" w:eastAsia="Times New Roman" w:hAnsi="Times New Roman"/>
          <w:b/>
          <w:bCs/>
          <w:sz w:val="19"/>
          <w:szCs w:val="19"/>
        </w:rPr>
        <w:t xml:space="preserve">IV. SOLUCIÓN PROPUESTA</w:t>
      </w:r>
    </w:p>
    <w:p>
      <w:pPr>
        <w:spacing w:after="120" w:line="232" w:lineRule="auto"/>
        <w:ind w:firstLine="230"/>
        <w:jc w:val="both"/>
      </w:pPr>
      <w:r>
        <w:rPr>
          <w:rFonts w:ascii="Times New Roman" w:cs="Times New Roman" w:eastAsia="Times New Roman" w:hAnsi="Times New Roman"/>
          <w:sz w:val="19"/>
          <w:szCs w:val="19"/>
        </w:rPr>
        <w:t xml:space="preserve">Sinapsistencia sigue una arquitectura de microservicios desacoplada (Fig. 1). El frontend, desarrollado en Angular, consume interfaces de programación de aplicaciones de tipo REST expuestas por un backend en Spring Boot protegido mediante tokens web JSON (JWT) y control de acceso basado en roles. Una base de datos PostgreSQL almacena los datos operativos, con migraciones versionadas mediante Flyway. Un servicio FastAPI independiente aloja los modelos de aprendizaje automático y es invocado por el backend a través de un proxy HTTP con un tiempo de espera de 5 segundos y degradación controlada ante fallos (C2, C3).</w:t>
      </w:r>
    </w:p>
    <w:p>
      <w:pPr>
        <w:spacing w:after="160" w:before="80"/>
        <w:jc w:val="center"/>
      </w:pPr>
      <w:r>
        <w:rPr>
          <w:rFonts w:ascii="Times New Roman" w:cs="Times New Roman" w:eastAsia="Times New Roman" w:hAnsi="Times New Roman"/>
          <w:sz w:val="16"/>
          <w:szCs w:val="16"/>
        </w:rPr>
        <w:t xml:space="preserve">Fig. 1. Arquitectura general de Sinapsistencia: portales por rol, backend Spring Boot, servicio FastAPI de aprendizaje automático y base de datos PostgreSQL. [Insertar diagrama de arquitectura por capas]</w:t>
      </w:r>
    </w:p>
    <w:p>
      <w:pPr>
        <w:spacing w:after="80" w:before="120"/>
        <w:jc w:val="both"/>
      </w:pPr>
      <w:r>
        <w:rPr>
          <w:rFonts w:ascii="Times New Roman" w:cs="Times New Roman" w:eastAsia="Times New Roman" w:hAnsi="Times New Roman"/>
          <w:b/>
          <w:bCs/>
          <w:i/>
          <w:iCs/>
          <w:sz w:val="19"/>
          <w:szCs w:val="19"/>
        </w:rPr>
        <w:t xml:space="preserve">A. Arquitectura del sistema</w:t>
      </w:r>
    </w:p>
    <w:p>
      <w:pPr>
        <w:spacing w:after="120" w:line="232" w:lineRule="auto"/>
        <w:ind w:firstLine="230"/>
        <w:jc w:val="both"/>
      </w:pPr>
      <w:r>
        <w:rPr>
          <w:rFonts w:ascii="Times New Roman" w:cs="Times New Roman" w:eastAsia="Times New Roman" w:hAnsi="Times New Roman"/>
          <w:sz w:val="19"/>
          <w:szCs w:val="19"/>
        </w:rPr>
        <w:t xml:space="preserve">El portal médico permite registrar consultas con contexto clínico-legal simulado —edad referencial, área médica, resumen del caso y factores relevantes— sin datos identificables del paciente, conforme a la Ley N.º 29733 [9]. El portal del abogado lista los casos pendientes y las solicitudes de contacto pertinentes según su especialidad. El portal administrador gestiona usuarios, el registro de auditoría, las métricas del modelo y los reportes resumen. Las reglas de pertenencia (ownership) impiden que un médico acceda a las consultas registradas por sus pares; estas reglas se aplican en la capa de servicio y se validan mediante pruebas de integración automatizadas.</w:t>
      </w:r>
    </w:p>
    <w:p>
      <w:pPr>
        <w:spacing w:after="80" w:before="120"/>
        <w:jc w:val="both"/>
      </w:pPr>
      <w:r>
        <w:rPr>
          <w:rFonts w:ascii="Times New Roman" w:cs="Times New Roman" w:eastAsia="Times New Roman" w:hAnsi="Times New Roman"/>
          <w:b/>
          <w:bCs/>
          <w:i/>
          <w:iCs/>
          <w:sz w:val="19"/>
          <w:szCs w:val="19"/>
        </w:rPr>
        <w:t xml:space="preserve">B. Modelo de evaluación de riesgo</w:t>
      </w:r>
    </w:p>
    <w:p>
      <w:pPr>
        <w:spacing w:after="120" w:line="232" w:lineRule="auto"/>
        <w:ind w:firstLine="230"/>
        <w:jc w:val="both"/>
      </w:pPr>
      <w:r>
        <w:rPr>
          <w:rFonts w:ascii="Times New Roman" w:cs="Times New Roman" w:eastAsia="Times New Roman" w:hAnsi="Times New Roman"/>
          <w:sz w:val="19"/>
          <w:szCs w:val="19"/>
        </w:rPr>
        <w:t xml:space="preserve">El módulo de riesgo predice una puntuación continua de riesgo legal y un nivel categórico —bajo, moderado, alto o crítico— a partir de variables estructuradas: especialidad médica, complejidad del procedimiento, prioridad clínica, completitud de la documentación, existencia de consentimiento informado, quejas previas y días transcurridos desde el incidente. El conjunto de entrenamiento comprende seis mil filas sintéticas (C4), generadas mediante reglas de negocio con ruido gaussiano añadido para evitar la memorización trivial del modelo. Un clasificador de bosques aleatorios de 200 árboles y un regresor del mismo tipo comparten el espacio de variables preprocesadas, codificadas mediante una representación binaria (one-hot) para la especialidad y ordinal para la complejidad y la prioridad [21]. La explicabilidad combina la importancia global de las variables con los valores normalizados de cada caso particular, lo que produce los factores de riesgo mostrados al usuario como contexto de apoyo a la decisión, sin sustituirla.</w:t>
      </w:r>
    </w:p>
    <w:p>
      <w:pPr>
        <w:spacing w:after="80" w:before="120"/>
        <w:jc w:val="both"/>
      </w:pPr>
      <w:r>
        <w:rPr>
          <w:rFonts w:ascii="Times New Roman" w:cs="Times New Roman" w:eastAsia="Times New Roman" w:hAnsi="Times New Roman"/>
          <w:b/>
          <w:bCs/>
          <w:i/>
          <w:iCs/>
          <w:sz w:val="19"/>
          <w:szCs w:val="19"/>
        </w:rPr>
        <w:t xml:space="preserve">C. Emparejamiento médico-abogado</w:t>
      </w:r>
    </w:p>
    <w:p>
      <w:pPr>
        <w:spacing w:after="120" w:line="232" w:lineRule="auto"/>
        <w:ind w:firstLine="230"/>
        <w:jc w:val="both"/>
      </w:pPr>
      <w:r>
        <w:rPr>
          <w:rFonts w:ascii="Times New Roman" w:cs="Times New Roman" w:eastAsia="Times New Roman" w:hAnsi="Times New Roman"/>
          <w:sz w:val="19"/>
          <w:szCs w:val="19"/>
        </w:rPr>
        <w:t xml:space="preserve">Los perfiles de los abogados se vectorizan a partir de sus especialidades legales, sus áreas médicas de interés y su descripción biográfica, mediante una representación de frecuencia de términos ponderada por frecuencia inversa de documento [18]. Las consultas registradas por el médico, construidas a partir de la especialidad y el contexto del caso, se comparan con estos perfiles mediante similitud del coseno. El resultado incluye una puntuación de afinidad de contenido, las especialidades coincidentes y razones expresadas en lenguaje natural que justifican la recomendación. Cuando el servicio de aprendizaje automático no está disponible, el backend aplica el mecanismo de respaldo (C3) que ordena a los abogados únicamente por coincidencia de área médica.</w:t>
      </w:r>
    </w:p>
    <w:p>
      <w:pPr>
        <w:spacing w:after="80" w:before="120"/>
        <w:jc w:val="both"/>
      </w:pPr>
      <w:r>
        <w:rPr>
          <w:rFonts w:ascii="Times New Roman" w:cs="Times New Roman" w:eastAsia="Times New Roman" w:hAnsi="Times New Roman"/>
          <w:b/>
          <w:bCs/>
          <w:i/>
          <w:iCs/>
          <w:sz w:val="19"/>
          <w:szCs w:val="19"/>
        </w:rPr>
        <w:t xml:space="preserve">D. Contrato de la interfaz de programación de aplicaciones</w:t>
      </w:r>
    </w:p>
    <w:p>
      <w:pPr>
        <w:spacing w:after="120" w:line="232" w:lineRule="auto"/>
        <w:ind w:firstLine="230"/>
        <w:jc w:val="both"/>
      </w:pPr>
      <w:r>
        <w:rPr>
          <w:rFonts w:ascii="Times New Roman" w:cs="Times New Roman" w:eastAsia="Times New Roman" w:hAnsi="Times New Roman"/>
          <w:sz w:val="19"/>
          <w:szCs w:val="19"/>
        </w:rPr>
        <w:t xml:space="preserve">El servicio FastAPI expone los puntos de acceso GET /health, GET /api/v1/model/info, POST /api/v1/risk-assessment y POST /api/v1/recommendations. El backend en Spring Boot actúa como proxy de estos puntos de acceso y normaliza las respuestas al formato camelCase requerido por el frontend. Los niveles de riesgo alto o crítico pueden disparar notificaciones opcionales, de tipo “disparar y olvidar” (fire-and-forget), hacia un webhook de automatización externo.</w:t>
      </w:r>
    </w:p>
    <w:p>
      <w:pPr>
        <w:spacing w:after="140" w:before="220"/>
        <w:jc w:val="center"/>
      </w:pPr>
      <w:r>
        <w:rPr>
          <w:rFonts w:ascii="Times New Roman" w:cs="Times New Roman" w:eastAsia="Times New Roman" w:hAnsi="Times New Roman"/>
          <w:b/>
          <w:bCs/>
          <w:sz w:val="19"/>
          <w:szCs w:val="19"/>
        </w:rPr>
        <w:t xml:space="preserve">V. EXPERIMENTOS Y VALIDACIÓN</w:t>
      </w:r>
    </w:p>
    <w:p>
      <w:pPr>
        <w:spacing w:after="120" w:line="232" w:lineRule="auto"/>
        <w:ind w:firstLine="230"/>
        <w:jc w:val="both"/>
      </w:pPr>
      <w:r>
        <w:rPr>
          <w:rFonts w:ascii="Times New Roman" w:cs="Times New Roman" w:eastAsia="Times New Roman" w:hAnsi="Times New Roman"/>
          <w:sz w:val="19"/>
          <w:szCs w:val="19"/>
        </w:rPr>
        <w:t xml:space="preserve">La validación de Sinapsistencia siguió cuatro frentes alineados con el plan de calidad del proyecto: (1) evaluación fuera de línea del modelo de aprendizaje automático, (2) pruebas de integración del backend, (3) verificación de la compilación de producción del frontend, y (4) escenarios funcionales incrementales derivados del catálogo académico de pruebas.</w:t>
      </w:r>
    </w:p>
    <w:p>
      <w:pPr>
        <w:spacing w:after="80" w:before="120"/>
        <w:jc w:val="both"/>
      </w:pPr>
      <w:r>
        <w:rPr>
          <w:rFonts w:ascii="Times New Roman" w:cs="Times New Roman" w:eastAsia="Times New Roman" w:hAnsi="Times New Roman"/>
          <w:b/>
          <w:bCs/>
          <w:i/>
          <w:iCs/>
          <w:sz w:val="19"/>
          <w:szCs w:val="19"/>
        </w:rPr>
        <w:t xml:space="preserve">A. Protocolo experimental</w:t>
      </w:r>
    </w:p>
    <w:p>
      <w:pPr>
        <w:spacing w:after="120" w:line="232" w:lineRule="auto"/>
        <w:ind w:firstLine="230"/>
        <w:jc w:val="both"/>
      </w:pPr>
      <w:r>
        <w:rPr>
          <w:rFonts w:ascii="Times New Roman" w:cs="Times New Roman" w:eastAsia="Times New Roman" w:hAnsi="Times New Roman"/>
          <w:sz w:val="19"/>
          <w:szCs w:val="19"/>
        </w:rPr>
        <w:t xml:space="preserve">El conjunto de datos sintético se dividió en una proporción de 80/20, con estratificación sobre el nivel de riesgo, y las métricas se reportan sobre la partición de prueba retenida. El emparejamiento se evaluó de forma cualitativa en escenarios de demostración con un corpus de ocho perfiles de abogados asociados a identificadores reales de la base de datos. Todos los experimentos se ejecutaron en una estación de desarrollo con Python 3.12, scikit-learn 1.5.2 y FastAPI 0.115.0. El código de generación del conjunto de datos y de entrenamiento del modelo se mantiene versionado para garantizar la reproducibilidad.</w:t>
      </w:r>
    </w:p>
    <w:p>
      <w:pPr>
        <w:spacing w:after="80" w:before="120"/>
        <w:jc w:val="both"/>
      </w:pPr>
      <w:r>
        <w:rPr>
          <w:rFonts w:ascii="Times New Roman" w:cs="Times New Roman" w:eastAsia="Times New Roman" w:hAnsi="Times New Roman"/>
          <w:b/>
          <w:bCs/>
          <w:i/>
          <w:iCs/>
          <w:sz w:val="19"/>
          <w:szCs w:val="19"/>
        </w:rPr>
        <w:t xml:space="preserve">B. Resultados cuantitativos</w:t>
      </w:r>
    </w:p>
    <w:p>
      <w:pPr>
        <w:spacing w:after="120" w:line="232" w:lineRule="auto"/>
        <w:ind w:firstLine="230"/>
        <w:jc w:val="both"/>
      </w:pPr>
      <w:r>
        <w:rPr>
          <w:rFonts w:ascii="Times New Roman" w:cs="Times New Roman" w:eastAsia="Times New Roman" w:hAnsi="Times New Roman"/>
          <w:sz w:val="19"/>
          <w:szCs w:val="19"/>
        </w:rPr>
        <w:t xml:space="preserve">La Tabla II resume el desempeño del clasificador de bosques aleatorios (versión del modelo rf-v1) sobre el conjunto de prueba retenido.</w:t>
      </w:r>
    </w:p>
    <w:p>
      <w:pPr>
        <w:spacing w:after="40" w:before="100"/>
        <w:jc w:val="center"/>
      </w:pPr>
      <w:r>
        <w:rPr>
          <w:rFonts w:ascii="Times New Roman" w:cs="Times New Roman" w:eastAsia="Times New Roman" w:hAnsi="Times New Roman"/>
          <w:sz w:val="14"/>
          <w:szCs w:val="14"/>
        </w:rPr>
        <w:t xml:space="preserve">TABLA II. MÉTRICAS DE EVALUACIÓN DEL CLASIFICADOR DE RIESGO (rf-v1)</w:t>
      </w:r>
    </w:p>
    <w:p>
      <w:pPr>
        <w:spacing w:after="160"/>
        <w:jc w:val="center"/>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tblGrid>
      <w:tr>
        <w:trPr>
          <w:tblHeader/>
        </w:trPr>
        <w:tc>
          <w:tcPr>
            <w:tcW w:type="dxa" w:w="27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Métrica</w:t>
            </w:r>
          </w:p>
        </w:tc>
        <w:tc>
          <w:tcPr>
            <w:tcW w:type="dxa" w:w="2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Valor</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Precisión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0.6179</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Exhaustividad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0.5973</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F1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0.6034</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Tamaño del conjunto de datos</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6 000 casos sintéticos</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Latencia media de inferencia (local)</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 120 ms</w:t>
            </w:r>
          </w:p>
        </w:tc>
      </w:tr>
    </w:tbl>
    <w:p>
      <w:pPr>
        <w:spacing w:after="120" w:line="232" w:lineRule="auto"/>
        <w:ind w:firstLine="230"/>
        <w:jc w:val="both"/>
      </w:pPr>
      <w:r>
        <w:rPr>
          <w:rFonts w:ascii="Times New Roman" w:cs="Times New Roman" w:eastAsia="Times New Roman" w:hAnsi="Times New Roman"/>
          <w:sz w:val="19"/>
          <w:szCs w:val="19"/>
        </w:rPr>
        <w:t xml:space="preserve">Las cinco suites de pruebas de integración del backend se ejecutaron con éxito al 100 % sobre una instancia de PostgreSQL desplegada con contenedores Docker administrados mediante Testcontainers. Las operaciones REST críticas —inicio de sesión, creación de consulta, proxy de emparejamiento y reporte administrativo— completaron en menos de 2 segundos en mediciones locales, cumpliendo el indicador de tiempo de respuesta establecido para el alcance del prototipo mínimo viable.</w:t>
      </w:r>
    </w:p>
    <w:p>
      <w:pPr>
        <w:spacing w:after="80" w:before="120"/>
        <w:jc w:val="both"/>
      </w:pPr>
      <w:r>
        <w:rPr>
          <w:rFonts w:ascii="Times New Roman" w:cs="Times New Roman" w:eastAsia="Times New Roman" w:hAnsi="Times New Roman"/>
          <w:b/>
          <w:bCs/>
          <w:i/>
          <w:iCs/>
          <w:sz w:val="19"/>
          <w:szCs w:val="19"/>
        </w:rPr>
        <w:t xml:space="preserve">C. Resultados cualitativos</w:t>
      </w:r>
    </w:p>
    <w:p>
      <w:pPr>
        <w:spacing w:after="120" w:line="232" w:lineRule="auto"/>
        <w:ind w:firstLine="230"/>
        <w:jc w:val="both"/>
      </w:pPr>
      <w:r>
        <w:rPr>
          <w:rFonts w:ascii="Times New Roman" w:cs="Times New Roman" w:eastAsia="Times New Roman" w:hAnsi="Times New Roman"/>
          <w:sz w:val="19"/>
          <w:szCs w:val="19"/>
        </w:rPr>
        <w:t xml:space="preserve">Las demostraciones de extremo a extremo confirmaron: (i) la navegación diferenciada por rol en los tres portales; (ii) el registro de consultas con contexto simulado; (iii) la generación de recomendaciones de abogados con razones explicables; (iv) la persistencia y recuperación de clasificaciones de riesgo desde la interfaz de programación de aplicaciones; y (v) la visibilidad de advertencias sobre el uso de inteligencia artificial como apoyo, no como sustituto, de la decisión profesional. Los abogados recibieron únicamente casos no asignados y pertinentes a sus áreas médicas declaradas. Estas observaciones respaldan la viabilidad de una evaluación piloto académica en la Clínica SANNA «El Golf», utilizando exclusivamente escenarios simulados.</w:t>
      </w:r>
    </w:p>
    <w:p>
      <w:pPr>
        <w:spacing w:after="80" w:before="120"/>
        <w:jc w:val="both"/>
      </w:pPr>
      <w:r>
        <w:rPr>
          <w:rFonts w:ascii="Times New Roman" w:cs="Times New Roman" w:eastAsia="Times New Roman" w:hAnsi="Times New Roman"/>
          <w:b/>
          <w:bCs/>
          <w:i/>
          <w:iCs/>
          <w:sz w:val="19"/>
          <w:szCs w:val="19"/>
        </w:rPr>
        <w:t xml:space="preserve">D. Discusión</w:t>
      </w:r>
    </w:p>
    <w:p>
      <w:pPr>
        <w:spacing w:after="120" w:line="232" w:lineRule="auto"/>
        <w:ind w:firstLine="230"/>
        <w:jc w:val="both"/>
      </w:pPr>
      <w:r>
        <w:rPr>
          <w:rFonts w:ascii="Times New Roman" w:cs="Times New Roman" w:eastAsia="Times New Roman" w:hAnsi="Times New Roman"/>
          <w:sz w:val="19"/>
          <w:szCs w:val="19"/>
        </w:rPr>
        <w:t xml:space="preserve">El valor F1 macro de 0.60 obtenido es moderado y se ubica por debajo de la meta de precisión del 70 % establecida en el plan de calidad, lo que es consistente con el uso de datos exclusivamente sintéticos y con una primera iteración del modelo sin ajuste fino de hiperparámetros. Conviene interpretar este resultado con cautela: Wallace, Blaas y Wyatt [23] advierten que la importancia de las variables en bosques aleatorios puede ser inestable ante datos correlacionados, por lo que los factores de riesgo mostrados al usuario deben entenderse como apoyo orientativo y no como una explicación causal definitiva. El desglose de métricas por clase y la matriz de confusión, así como la incorporación de explicabilidad formal con SHAP [24] y LIME [25], se reservan para la fase de validación (TP2) con un modelo ajustado. En contraste, la integración de software alcanzó una tasa de éxito del 100 % y la latencia de inferencia se mantuvo muy por debajo del límite de 2 segundos definido como criterio de aceptación, lo que confirma que la arquitectura de microservicios es adecuada para uso interactivo. Comparado con los antecedentes de la Sección II, en su mayoría carentes de explicabilidad persistente, el aporte avanza al menos en transparencia, aunque el desempeño predictivo todavía debe mejorar antes de una validación con datos reales.</w:t>
      </w:r>
    </w:p>
    <w:p>
      <w:pPr>
        <w:spacing w:after="140" w:before="220"/>
        <w:jc w:val="center"/>
      </w:pPr>
      <w:r>
        <w:rPr>
          <w:rFonts w:ascii="Times New Roman" w:cs="Times New Roman" w:eastAsia="Times New Roman" w:hAnsi="Times New Roman"/>
          <w:b/>
          <w:bCs/>
          <w:sz w:val="19"/>
          <w:szCs w:val="19"/>
        </w:rPr>
        <w:t xml:space="preserve">VI. CONCLUSIONES Y PERSPECTIVAS</w:t>
      </w:r>
    </w:p>
    <w:p>
      <w:pPr>
        <w:spacing w:after="120" w:line="232" w:lineRule="auto"/>
        <w:ind w:firstLine="230"/>
        <w:jc w:val="both"/>
      </w:pPr>
      <w:r>
        <w:rPr>
          <w:rFonts w:ascii="Times New Roman" w:cs="Times New Roman" w:eastAsia="Times New Roman" w:hAnsi="Times New Roman"/>
          <w:sz w:val="19"/>
          <w:szCs w:val="19"/>
        </w:rPr>
        <w:t xml:space="preserve">Este artículo presentó Sinapsistencia, una plataforma de mediación médico-legal que integra flujos estructurados, auditabilidad y aprendizaje automático explicable para el sector salud peruano. El aporte —resumido en las contribuciones C1 a C4— acopla bosques aleatorios para la puntuación de riesgo y recuperación de información basada en contenido para el emparejamiento médico-abogado, atendiendo las restricciones de arranque en frío del dominio con una latencia adecuada para uso interactivo.</w:t>
      </w:r>
    </w:p>
    <w:p>
      <w:pPr>
        <w:spacing w:after="120" w:line="232" w:lineRule="auto"/>
        <w:ind w:firstLine="230"/>
        <w:jc w:val="both"/>
      </w:pPr>
      <w:r>
        <w:rPr>
          <w:rFonts w:ascii="Times New Roman" w:cs="Times New Roman" w:eastAsia="Times New Roman" w:hAnsi="Times New Roman"/>
          <w:sz w:val="19"/>
          <w:szCs w:val="19"/>
        </w:rPr>
        <w:t xml:space="preserve">Los resultados sobre datos sintéticos demuestran un desempeño de clasificación moderado (F1 macro ≈ 0.60) y una integración exitosa del software entre el frontend, el backend, la base de datos y el servicio de aprendizaje automático. El sistema trata explícitamente las salidas de inteligencia artificial como apoyo no determinista a la decisión, en concordancia con los requisitos éticos de un dominio sensible a la responsabilidad profesional.</w:t>
      </w:r>
    </w:p>
    <w:p>
      <w:pPr>
        <w:spacing w:after="120" w:line="232" w:lineRule="auto"/>
        <w:ind w:firstLine="230"/>
        <w:jc w:val="both"/>
      </w:pPr>
      <w:r>
        <w:rPr>
          <w:rFonts w:ascii="Times New Roman" w:cs="Times New Roman" w:eastAsia="Times New Roman" w:hAnsi="Times New Roman"/>
          <w:sz w:val="19"/>
          <w:szCs w:val="19"/>
        </w:rPr>
        <w:t xml:space="preserve">Como perspectivas de trabajo futuro se plantean cinco líneas: (i) ampliar el corpus de perfiles de abogados y recopilar retroalimentación piloto sin datos identificables de pacientes; (ii) evaluar cuantitativamente el emparejamiento frente a una meta de pertinencia igual o superior al 70 % en las tres primeras recomendaciones, e incorporar explicabilidad formal con SHAP [24] y LIME [25] junto al desglose de métricas por clase; (iii) desplegar el sistema en la nube para habilitar entornos de demostración accesibles; (iv) ejecutar el plan completo de noventa casos de prueba funcionales del catálogo académico; y (v) evaluar la usabilidad mediante la Escala de Usabilidad del Sistema [26] y comparar los tiempos de acceso a la asesoría entre el proceso actual (As-Is) y el propuesto (To-Be) durante la fase de validación (TP2).</w:t>
      </w:r>
    </w:p>
    <w:p>
      <w:pPr>
        <w:spacing w:after="140" w:before="220"/>
        <w:jc w:val="center"/>
      </w:pPr>
      <w:r>
        <w:rPr>
          <w:rFonts w:ascii="Times New Roman" w:cs="Times New Roman" w:eastAsia="Times New Roman" w:hAnsi="Times New Roman"/>
          <w:b/>
          <w:bCs/>
          <w:sz w:val="19"/>
          <w:szCs w:val="19"/>
        </w:rPr>
        <w:t xml:space="preserve">AGRADECIMIENTOS</w:t>
      </w:r>
    </w:p>
    <w:p>
      <w:pPr>
        <w:spacing w:after="120" w:line="232" w:lineRule="auto"/>
        <w:ind w:firstLine="230"/>
        <w:jc w:val="both"/>
      </w:pPr>
      <w:r>
        <w:rPr>
          <w:rFonts w:ascii="Times New Roman" w:cs="Times New Roman" w:eastAsia="Times New Roman" w:hAnsi="Times New Roman"/>
          <w:sz w:val="19"/>
          <w:szCs w:val="19"/>
        </w:rPr>
        <w:t xml:space="preserve">Los autores agradecen a la Escuela de Ingeniería de Sistemas y Computación de la Universidad Peruana de Ciencias Aplicadas por el apoyo académico brindado; a los asesores Jymmy Stuwart Dextre Alarcón y Jorge Enrique Polo Martínez por su orientación metodológica a lo largo del proyecto; y a la Clínica SANNA «El Golf» por su colaboración institucional en el contexto de la validación piloto simulada.</w:t>
      </w:r>
    </w:p>
    <w:p>
      <w:pPr>
        <w:spacing w:after="140" w:before="220"/>
        <w:jc w:val="center"/>
      </w:pPr>
      <w:r>
        <w:rPr>
          <w:rFonts w:ascii="Times New Roman" w:cs="Times New Roman" w:eastAsia="Times New Roman" w:hAnsi="Times New Roman"/>
          <w:b/>
          <w:bCs/>
          <w:sz w:val="19"/>
          <w:szCs w:val="19"/>
        </w:rPr>
        <w:t xml:space="preserve">REFERENCIAS</w:t>
      </w:r>
    </w:p>
    <w:p>
      <w:pPr>
        <w:spacing w:after="80"/>
        <w:ind w:left="230" w:hanging="230"/>
        <w:jc w:val="both"/>
      </w:pPr>
      <w:r>
        <w:rPr>
          <w:rFonts w:ascii="Times New Roman" w:cs="Times New Roman" w:eastAsia="Times New Roman" w:hAnsi="Times New Roman"/>
          <w:sz w:val="17"/>
          <w:szCs w:val="17"/>
        </w:rPr>
        <w:t xml:space="preserve">[1] Superintendencia Nacional de Salud (SUSALUD), “SUSALUD brindó más de 163 mil atenciones sobre derechos en salud durante el 2024,” Gobierno del Perú, Lima, Perú, 2025.</w:t>
      </w:r>
    </w:p>
    <w:p>
      <w:pPr>
        <w:spacing w:after="80"/>
        <w:ind w:left="230" w:hanging="230"/>
        <w:jc w:val="both"/>
      </w:pPr>
      <w:r>
        <w:rPr>
          <w:rFonts w:ascii="Times New Roman" w:cs="Times New Roman" w:eastAsia="Times New Roman" w:hAnsi="Times New Roman"/>
          <w:sz w:val="17"/>
          <w:szCs w:val="17"/>
        </w:rPr>
        <w:t xml:space="preserve">[2] Defensoría del Pueblo del Perú, “Informe Defensorial N.º 243: Supervisión a institutos especializados de salud,” Lima, Perú, 2025.</w:t>
      </w:r>
    </w:p>
    <w:p>
      <w:pPr>
        <w:spacing w:after="80"/>
        <w:ind w:left="230" w:hanging="230"/>
        <w:jc w:val="both"/>
      </w:pPr>
      <w:r>
        <w:rPr>
          <w:rFonts w:ascii="Times New Roman" w:cs="Times New Roman" w:eastAsia="Times New Roman" w:hAnsi="Times New Roman"/>
          <w:sz w:val="17"/>
          <w:szCs w:val="17"/>
        </w:rPr>
        <w:t xml:space="preserve">[3] F. Prieto, A. Lamas, y J. Rodríguez, “Malpractice claims in paediatric surgery: A systematic review of contributing factors,” J. Pediatric Surg., vol. 57, no. 4, pp. 701–708, 2022.</w:t>
      </w:r>
    </w:p>
    <w:p>
      <w:pPr>
        <w:spacing w:after="80"/>
        <w:ind w:left="230" w:hanging="230"/>
        <w:jc w:val="both"/>
      </w:pPr>
      <w:r>
        <w:rPr>
          <w:rFonts w:ascii="Times New Roman" w:cs="Times New Roman" w:eastAsia="Times New Roman" w:hAnsi="Times New Roman"/>
          <w:sz w:val="17"/>
          <w:szCs w:val="17"/>
        </w:rPr>
        <w:t xml:space="preserve">[4] O. Gunenc, N. G. Kulhan, M. G. Bayman, C. Celik, A. Bilgi, C. Colluoglu, y M. Kulhan, “Medical malpractice stress syndrome and defensive medicine in obstetricians and gynecologists in Turkey,” Int. J. Clin. Pract., vol. 2024, Art. no. 8226403, 2024.</w:t>
      </w:r>
    </w:p>
    <w:p>
      <w:pPr>
        <w:spacing w:after="80"/>
        <w:ind w:left="230" w:hanging="230"/>
        <w:jc w:val="both"/>
      </w:pPr>
      <w:r>
        <w:rPr>
          <w:rFonts w:ascii="Times New Roman" w:cs="Times New Roman" w:eastAsia="Times New Roman" w:hAnsi="Times New Roman"/>
          <w:sz w:val="17"/>
          <w:szCs w:val="17"/>
        </w:rPr>
        <w:t xml:space="preserve">[5] I. D. Miziara y C. S. M. G. Miziara, “Medical errors, medical negligence and defensive medicine: A narrative review,” Clinics, vol. 77, Art. no. 100053, 2022.</w:t>
      </w:r>
    </w:p>
    <w:p>
      <w:pPr>
        <w:spacing w:after="80"/>
        <w:ind w:left="230" w:hanging="230"/>
        <w:jc w:val="both"/>
      </w:pPr>
      <w:r>
        <w:rPr>
          <w:rFonts w:ascii="Times New Roman" w:cs="Times New Roman" w:eastAsia="Times New Roman" w:hAnsi="Times New Roman"/>
          <w:sz w:val="17"/>
          <w:szCs w:val="17"/>
        </w:rPr>
        <w:t xml:space="preserve">[6] M.-E. Tumelty, “Plaintiff aims in medical negligence disputes: Limitations of an adversarial system,” Med. Law Rev., vol. 31, no. 2, pp. 226–246, 2023.</w:t>
      </w:r>
    </w:p>
    <w:p>
      <w:pPr>
        <w:spacing w:after="80"/>
        <w:ind w:left="230" w:hanging="230"/>
        <w:jc w:val="both"/>
      </w:pPr>
      <w:r>
        <w:rPr>
          <w:rFonts w:ascii="Times New Roman" w:cs="Times New Roman" w:eastAsia="Times New Roman" w:hAnsi="Times New Roman"/>
          <w:sz w:val="17"/>
          <w:szCs w:val="17"/>
        </w:rPr>
        <w:t xml:space="preserve">[7] S. P. Rowland, J. E. Fitzgerald, M. Lungren, E. (H.) Lee, Z. Harned, y A. H. McGregor, “Digital health technology-specific risks for medical malpractice liability,” npj Digit. Med., vol. 5, Art. no. 157, 2022.</w:t>
      </w:r>
    </w:p>
    <w:p>
      <w:pPr>
        <w:spacing w:after="80"/>
        <w:ind w:left="230" w:hanging="230"/>
        <w:jc w:val="both"/>
      </w:pPr>
      <w:r>
        <w:rPr>
          <w:rFonts w:ascii="Times New Roman" w:cs="Times New Roman" w:eastAsia="Times New Roman" w:hAnsi="Times New Roman"/>
          <w:sz w:val="17"/>
          <w:szCs w:val="17"/>
        </w:rPr>
        <w:t xml:space="preserve">[8] B. H. Wong, P. D. Parikh, K. C. Miller, y M. R. Zonfrillo, “Emergency department and urgent care medical malpractice claims 2001–15,” West. J. Emerg. Med., vol. 22, no. 2, pp. 333–338, 2021.</w:t>
      </w:r>
    </w:p>
    <w:p>
      <w:pPr>
        <w:spacing w:after="80"/>
        <w:ind w:left="230" w:hanging="230"/>
        <w:jc w:val="both"/>
      </w:pPr>
      <w:r>
        <w:rPr>
          <w:rFonts w:ascii="Times New Roman" w:cs="Times New Roman" w:eastAsia="Times New Roman" w:hAnsi="Times New Roman"/>
          <w:sz w:val="17"/>
          <w:szCs w:val="17"/>
        </w:rPr>
        <w:t xml:space="preserve">[9] Congreso de la República del Perú, “Ley N.º 29733, Ley de Protección de Datos Personales,” El Peruano, Lima, Perú, 2011.</w:t>
      </w:r>
    </w:p>
    <w:p>
      <w:pPr>
        <w:spacing w:after="80"/>
        <w:ind w:left="230" w:hanging="230"/>
        <w:jc w:val="both"/>
      </w:pPr>
      <w:r>
        <w:rPr>
          <w:rFonts w:ascii="Times New Roman" w:cs="Times New Roman" w:eastAsia="Times New Roman" w:hAnsi="Times New Roman"/>
          <w:sz w:val="17"/>
          <w:szCs w:val="17"/>
        </w:rPr>
        <w:t xml:space="preserve">[10] C. Jones, J. Thornton, y J. C. Wyatt, “Artificial intelligence and clinical decision support: Clinicians’ perspectives on trust, trustworthiness, and liability,” Med. Law Rev., vol. 31, no. 4, pp. 501–520, 2023.</w:t>
      </w:r>
    </w:p>
    <w:p>
      <w:pPr>
        <w:spacing w:after="80"/>
        <w:ind w:left="230" w:hanging="230"/>
        <w:jc w:val="both"/>
      </w:pPr>
      <w:r>
        <w:rPr>
          <w:rFonts w:ascii="Times New Roman" w:cs="Times New Roman" w:eastAsia="Times New Roman" w:hAnsi="Times New Roman"/>
          <w:sz w:val="17"/>
          <w:szCs w:val="17"/>
        </w:rPr>
        <w:t xml:space="preserve">[11] I. A. Scott, A. van der Vegt, P. Lane, S. McPhail, y F. Magrabi, “Achieving large-scale clinician adoption of AI-enabled decision support,” BMJ Health Care Inform., vol. 31, Art. no. e100971, 2024.</w:t>
      </w:r>
    </w:p>
    <w:p>
      <w:pPr>
        <w:spacing w:after="80"/>
        <w:ind w:left="230" w:hanging="230"/>
        <w:jc w:val="both"/>
      </w:pPr>
      <w:r>
        <w:rPr>
          <w:rFonts w:ascii="Times New Roman" w:cs="Times New Roman" w:eastAsia="Times New Roman" w:hAnsi="Times New Roman"/>
          <w:sz w:val="17"/>
          <w:szCs w:val="17"/>
        </w:rPr>
        <w:t xml:space="preserve">[12] Legalify, “Plataforma legal digital,” 2025. [En línea]. Disponible: https://legalify.app/</w:t>
      </w:r>
    </w:p>
    <w:p>
      <w:pPr>
        <w:spacing w:after="80"/>
        <w:ind w:left="230" w:hanging="230"/>
        <w:jc w:val="both"/>
      </w:pPr>
      <w:r>
        <w:rPr>
          <w:rFonts w:ascii="Times New Roman" w:cs="Times New Roman" w:eastAsia="Times New Roman" w:hAnsi="Times New Roman"/>
          <w:sz w:val="17"/>
          <w:szCs w:val="17"/>
        </w:rPr>
        <w:t xml:space="preserve">[13] Medical Legal Center, “Líderes en protección médico legal en México,” 2022. [En línea]. Disponible: https://medicallegalcenter.com/</w:t>
      </w:r>
    </w:p>
    <w:p>
      <w:pPr>
        <w:spacing w:after="80"/>
        <w:ind w:left="230" w:hanging="230"/>
        <w:jc w:val="both"/>
      </w:pPr>
      <w:r>
        <w:rPr>
          <w:rFonts w:ascii="Times New Roman" w:cs="Times New Roman" w:eastAsia="Times New Roman" w:hAnsi="Times New Roman"/>
          <w:sz w:val="17"/>
          <w:szCs w:val="17"/>
        </w:rPr>
        <w:t xml:space="preserve">[14] D. Ugarte Mostajo, “El deber de información médica y la responsabilidad civil en el Perú,” Rev. Derecho y Ciencia Política, vol. 78, no. 1, pp. 45–62, 2021.</w:t>
      </w:r>
    </w:p>
    <w:p>
      <w:pPr>
        <w:spacing w:after="80"/>
        <w:ind w:left="230" w:hanging="230"/>
        <w:jc w:val="both"/>
      </w:pPr>
      <w:r>
        <w:rPr>
          <w:rFonts w:ascii="Times New Roman" w:cs="Times New Roman" w:eastAsia="Times New Roman" w:hAnsi="Times New Roman"/>
          <w:sz w:val="17"/>
          <w:szCs w:val="17"/>
        </w:rPr>
        <w:t xml:space="preserve">[15] L. Wang, Z. Zhang, D. Wang, W. Cao, X. Zhou, P. Zhang, J. Liu, X. Fan, y F. Tian, “Human-centered design and evaluation of AI-empowered clinical decision support systems: A systematic review,” Front. Comput. Sci., vol. 5, Art. no. 1187299, 2023.</w:t>
      </w:r>
    </w:p>
    <w:p>
      <w:pPr>
        <w:spacing w:after="80"/>
        <w:ind w:left="230" w:hanging="230"/>
        <w:jc w:val="both"/>
      </w:pPr>
      <w:r>
        <w:rPr>
          <w:rFonts w:ascii="Times New Roman" w:cs="Times New Roman" w:eastAsia="Times New Roman" w:hAnsi="Times New Roman"/>
          <w:sz w:val="17"/>
          <w:szCs w:val="17"/>
        </w:rPr>
        <w:t xml:space="preserve">[16] T. Wilhelm, A. Müller, y K. Berg, “Benefits and harms of algorithmic decision-making in health,” Lancet Digit. Health, vol. 7, no. 1, pp. e12–e20, 2025.</w:t>
      </w:r>
    </w:p>
    <w:p>
      <w:pPr>
        <w:spacing w:after="80"/>
        <w:ind w:left="230" w:hanging="230"/>
        <w:jc w:val="both"/>
      </w:pPr>
      <w:r>
        <w:rPr>
          <w:rFonts w:ascii="Times New Roman" w:cs="Times New Roman" w:eastAsia="Times New Roman" w:hAnsi="Times New Roman"/>
          <w:sz w:val="17"/>
          <w:szCs w:val="17"/>
        </w:rPr>
        <w:t xml:space="preserve">[17] A. A. Ayorinde, S. Williams, y S. Dosumu, “Barriers to the adoption of AI tools in healthcare,” Health Inform. J., vol. 28, no. 2, pp. 1–14, 2022.</w:t>
      </w:r>
    </w:p>
    <w:p>
      <w:pPr>
        <w:spacing w:after="80"/>
        <w:ind w:left="230" w:hanging="230"/>
        <w:jc w:val="both"/>
      </w:pPr>
      <w:r>
        <w:rPr>
          <w:rFonts w:ascii="Times New Roman" w:cs="Times New Roman" w:eastAsia="Times New Roman" w:hAnsi="Times New Roman"/>
          <w:sz w:val="17"/>
          <w:szCs w:val="17"/>
        </w:rPr>
        <w:t xml:space="preserve">[18] C. D. Manning, P. Raghavan, y H. Schütze, Introduction to Information Retrieval. Cambridge, U.K.: Cambridge Univ. Press, 2008.</w:t>
      </w:r>
    </w:p>
    <w:p>
      <w:pPr>
        <w:spacing w:after="80"/>
        <w:ind w:left="230" w:hanging="230"/>
        <w:jc w:val="both"/>
      </w:pPr>
      <w:r>
        <w:rPr>
          <w:rFonts w:ascii="Times New Roman" w:cs="Times New Roman" w:eastAsia="Times New Roman" w:hAnsi="Times New Roman"/>
          <w:sz w:val="17"/>
          <w:szCs w:val="17"/>
        </w:rPr>
        <w:t xml:space="preserve">[19] F. Ricci, L. Rokach, y B. Shapira, Eds., Recommender Systems Handbook, 2nd ed. New York, NY, USA: Springer, 2015.</w:t>
      </w:r>
    </w:p>
    <w:p>
      <w:pPr>
        <w:spacing w:after="80"/>
        <w:ind w:left="230" w:hanging="230"/>
        <w:jc w:val="both"/>
      </w:pPr>
      <w:r>
        <w:rPr>
          <w:rFonts w:ascii="Times New Roman" w:cs="Times New Roman" w:eastAsia="Times New Roman" w:hAnsi="Times New Roman"/>
          <w:sz w:val="17"/>
          <w:szCs w:val="17"/>
        </w:rPr>
        <w:t xml:space="preserve">[20] C. C. Aggarwal, Recommender Systems: The Textbook. New York, NY, USA: Springer, 2016.</w:t>
      </w:r>
    </w:p>
    <w:p>
      <w:pPr>
        <w:spacing w:after="80"/>
        <w:ind w:left="230" w:hanging="230"/>
        <w:jc w:val="both"/>
      </w:pPr>
      <w:r>
        <w:rPr>
          <w:rFonts w:ascii="Times New Roman" w:cs="Times New Roman" w:eastAsia="Times New Roman" w:hAnsi="Times New Roman"/>
          <w:sz w:val="17"/>
          <w:szCs w:val="17"/>
        </w:rPr>
        <w:t xml:space="preserve">[21] L. Breiman, “Random forests,” Mach. Learn., vol. 45, no. 1, pp. 5–32, 2001.</w:t>
      </w:r>
    </w:p>
    <w:p>
      <w:pPr>
        <w:spacing w:after="80"/>
        <w:ind w:left="230" w:hanging="230"/>
        <w:jc w:val="both"/>
      </w:pPr>
      <w:r>
        <w:rPr>
          <w:rFonts w:ascii="Times New Roman" w:cs="Times New Roman" w:eastAsia="Times New Roman" w:hAnsi="Times New Roman"/>
          <w:sz w:val="17"/>
          <w:szCs w:val="17"/>
        </w:rPr>
        <w:t xml:space="preserve">[22] S. C. Wongvibulsin, K. C. Wu, y S. L. Zeger, “Clinical risk prediction with Random Forests,” BMC Med. Res. Methodol., vol. 20, no. 1, Art. no. 1, 2020.</w:t>
      </w:r>
    </w:p>
    <w:p>
      <w:pPr>
        <w:spacing w:after="80"/>
        <w:ind w:left="230" w:hanging="230"/>
        <w:jc w:val="both"/>
      </w:pPr>
      <w:r>
        <w:rPr>
          <w:rFonts w:ascii="Times New Roman" w:cs="Times New Roman" w:eastAsia="Times New Roman" w:hAnsi="Times New Roman"/>
          <w:sz w:val="17"/>
          <w:szCs w:val="17"/>
        </w:rPr>
        <w:t xml:space="preserve">[23] J. E. Wallace, D. A. Blaas, y R. A. Wyatt, “Misuse and abuse of variable importance in Random Forest,” PLOS ONE, vol. 18, no. 3, Art. no. e0283994, 2023.</w:t>
      </w:r>
    </w:p>
    <w:p>
      <w:pPr>
        <w:spacing w:after="80"/>
        <w:ind w:left="230" w:hanging="230"/>
        <w:jc w:val="both"/>
      </w:pPr>
      <w:r>
        <w:rPr>
          <w:rFonts w:ascii="Times New Roman" w:cs="Times New Roman" w:eastAsia="Times New Roman" w:hAnsi="Times New Roman"/>
          <w:sz w:val="17"/>
          <w:szCs w:val="17"/>
        </w:rPr>
        <w:t xml:space="preserve">[24] S. M. Lundberg y S.-I. Lee, “A unified approach to interpreting model predictions,” in Proc. NIPS, vol. 30, 2017, pp. 4765–4774.</w:t>
      </w:r>
    </w:p>
    <w:p>
      <w:pPr>
        <w:spacing w:after="80"/>
        <w:ind w:left="230" w:hanging="230"/>
        <w:jc w:val="both"/>
      </w:pPr>
      <w:r>
        <w:rPr>
          <w:rFonts w:ascii="Times New Roman" w:cs="Times New Roman" w:eastAsia="Times New Roman" w:hAnsi="Times New Roman"/>
          <w:sz w:val="17"/>
          <w:szCs w:val="17"/>
        </w:rPr>
        <w:t xml:space="preserve">[25] M. T. Ribeiro, S. Singh, y C. Guestrin, “‘Why should I trust you?’: Explaining the predictions of any classifier,” in Proc. 22nd ACM SIGKDD, 2016, pp. 1135–1144.</w:t>
      </w:r>
    </w:p>
    <w:p>
      <w:pPr>
        <w:spacing w:after="80"/>
        <w:ind w:left="230" w:hanging="230"/>
        <w:jc w:val="both"/>
      </w:pPr>
      <w:r>
        <w:rPr>
          <w:rFonts w:ascii="Times New Roman" w:cs="Times New Roman" w:eastAsia="Times New Roman" w:hAnsi="Times New Roman"/>
          <w:sz w:val="17"/>
          <w:szCs w:val="17"/>
        </w:rPr>
        <w:t xml:space="preserve">[26] T. Mikolov, I. Sutskever, K. Chen, G. Corrado, y J. Dean, “Distributed representations of words and phrases and their compositionality,” in Proc. NIPS, vol. 26, 2013, pp. 3111–3119.</w:t>
      </w:r>
    </w:p>
    <w:p>
      <w:pPr>
        <w:spacing w:after="80"/>
        <w:ind w:left="230" w:hanging="230"/>
        <w:jc w:val="both"/>
      </w:pPr>
      <w:r>
        <w:rPr>
          <w:rFonts w:ascii="Times New Roman" w:cs="Times New Roman" w:eastAsia="Times New Roman" w:hAnsi="Times New Roman"/>
          <w:sz w:val="17"/>
          <w:szCs w:val="17"/>
        </w:rPr>
        <w:t xml:space="preserve">[27] J. Brooke, “SUS: A ‘quick and dirty’ usability scale,” in Usability Evaluation in Industry, P. W. Jordan et al., Eds. London, U.K.: Taylor &amp; Francis, 1996, pp. 189–194.</w:t>
      </w:r>
    </w:p>
    <w:sectPr>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2026-06-25T20:37:04.220Z</dcterms:created>
  <dcterms:modified xsi:type="dcterms:W3CDTF">2026-06-25T20:37:04.220Z</dcterms:modified>
</cp:coreProperties>
</file>

<file path=docProps/custom.xml><?xml version="1.0" encoding="utf-8"?>
<Properties xmlns="http://schemas.openxmlformats.org/officeDocument/2006/custom-properties" xmlns:vt="http://schemas.openxmlformats.org/officeDocument/2006/docPropsVTypes"/>
</file>