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Times New Roman" w:hAnsi="Times New Roman"/>
          <w:b w:val="0"/>
          <w:i w:val="0"/>
          <w:sz w:val="18"/>
        </w:rPr>
        <w:t>Proc. of the International Conference on Electrical, Computer, Communications and Mechatronics Engineering (ICECCME 2026)</w:t>
      </w:r>
    </w:p>
    <w:p>
      <w:pPr>
        <w:spacing w:before="0" w:after="120" w:line="240" w:lineRule="auto"/>
        <w:jc w:val="center"/>
      </w:pPr>
      <w:r>
        <w:rPr>
          <w:rFonts w:ascii="Times New Roman" w:hAnsi="Times New Roman"/>
          <w:b w:val="0"/>
          <w:i w:val="0"/>
          <w:sz w:val="18"/>
        </w:rPr>
        <w:t>15-17 October 2026, Bali, Indonesia</w:t>
      </w:r>
    </w:p>
    <w:p>
      <w:pPr>
        <w:spacing w:before="0" w:after="160" w:line="240" w:lineRule="auto"/>
        <w:jc w:val="center"/>
      </w:pPr>
      <w:r>
        <w:rPr>
          <w:rFonts w:ascii="Times New Roman" w:hAnsi="Times New Roman"/>
          <w:b/>
          <w:i w:val="0"/>
          <w:sz w:val="32"/>
        </w:rPr>
        <w:t>Sinapsistencia: Medical-Legal Mediation with Explainable Machine Learning for the Peruvian Healthcare Sector</w:t>
      </w:r>
    </w:p>
    <w:tbl>
      <w:tblPr>
        <w:tblW w:type="auto" w:w="0"/>
        <w:jc w:val="center"/>
        <w:tblLayout w:type="autofit"/>
        <w:tblLook w:firstColumn="1" w:firstRow="1" w:lastColumn="0" w:lastRow="0" w:noHBand="0" w:noVBand="1" w:val="04A0"/>
      </w:tblPr>
      <w:tblGrid>
        <w:gridCol w:w="5018"/>
        <w:gridCol w:w="5018"/>
      </w:tblGrid>
      <w:tr>
        <w:tc>
          <w:tcPr>
            <w:tcW w:type="dxa" w:w="5018"/>
          </w:tcPr>
          <w:p>
            <w:pPr>
              <w:jc w:val="center"/>
            </w:pPr>
            <w:r/>
            <w:r>
              <w:rPr>
                <w:rFonts w:ascii="Times New Roman" w:hAnsi="Times New Roman"/>
                <w:b/>
                <w:sz w:val="20"/>
              </w:rPr>
              <w:t>Augusto Mathias Leonardo Vásquez Requejo</w:t>
              <w:br/>
            </w:r>
            <w:r>
              <w:rPr>
                <w:rFonts w:ascii="Times New Roman" w:hAnsi="Times New Roman"/>
                <w:sz w:val="18"/>
              </w:rPr>
              <w:t>School of Systems and Computer Engineering</w:t>
              <w:br/>
            </w:r>
            <w:r>
              <w:rPr>
                <w:rFonts w:ascii="Times New Roman" w:hAnsi="Times New Roman"/>
                <w:sz w:val="18"/>
              </w:rPr>
              <w:t>Universidad Peruana de Ciencias Aplicadas (UPC)</w:t>
              <w:br/>
            </w:r>
            <w:r>
              <w:rPr>
                <w:rFonts w:ascii="Times New Roman" w:hAnsi="Times New Roman"/>
                <w:sz w:val="18"/>
              </w:rPr>
              <w:t>Lima, Peru</w:t>
              <w:br/>
            </w:r>
            <w:r>
              <w:rPr>
                <w:rFonts w:ascii="Times New Roman" w:hAnsi="Times New Roman"/>
                <w:sz w:val="18"/>
              </w:rPr>
              <w:t>u20221a955@upc.edu.pe</w:t>
            </w:r>
          </w:p>
        </w:tc>
        <w:tc>
          <w:tcPr>
            <w:tcW w:type="dxa" w:w="5018"/>
          </w:tcPr>
          <w:p>
            <w:pPr>
              <w:jc w:val="center"/>
            </w:pPr>
            <w:r/>
            <w:r>
              <w:rPr>
                <w:rFonts w:ascii="Times New Roman" w:hAnsi="Times New Roman"/>
                <w:b/>
                <w:sz w:val="20"/>
              </w:rPr>
              <w:t>Renato Germán Reyes Valenzuela</w:t>
              <w:br/>
            </w:r>
            <w:r>
              <w:rPr>
                <w:rFonts w:ascii="Times New Roman" w:hAnsi="Times New Roman"/>
                <w:sz w:val="18"/>
              </w:rPr>
              <w:t>School of Systems and Computer Engineering</w:t>
              <w:br/>
            </w:r>
            <w:r>
              <w:rPr>
                <w:rFonts w:ascii="Times New Roman" w:hAnsi="Times New Roman"/>
                <w:sz w:val="18"/>
              </w:rPr>
              <w:t>Universidad Peruana de Ciencias Aplicadas (UPC)</w:t>
              <w:br/>
            </w:r>
            <w:r>
              <w:rPr>
                <w:rFonts w:ascii="Times New Roman" w:hAnsi="Times New Roman"/>
                <w:sz w:val="18"/>
              </w:rPr>
              <w:t>Lima, Peru</w:t>
              <w:br/>
            </w:r>
            <w:r>
              <w:rPr>
                <w:rFonts w:ascii="Times New Roman" w:hAnsi="Times New Roman"/>
                <w:sz w:val="18"/>
              </w:rPr>
              <w:t>u20221b471@upc.edu.pe</w:t>
            </w:r>
          </w:p>
        </w:tc>
      </w:tr>
    </w:tbl>
    <w:p>
      <w:pPr>
        <w:spacing w:before="0" w:after="80" w:line="240" w:lineRule="auto"/>
      </w:pPr>
    </w:p>
    <w:p>
      <w:pPr>
        <w:spacing w:before="0" w:after="60" w:line="240" w:lineRule="auto"/>
      </w:pPr>
      <w:r>
        <w:rPr>
          <w:rFonts w:ascii="Times New Roman" w:hAnsi="Times New Roman"/>
          <w:b w:val="0"/>
          <w:i w:val="0"/>
          <w:sz w:val="18"/>
        </w:rPr>
        <w:t>Abstract- Healthcare professionals in Peru face growing exposure to malpractice claims and frequently lack structured, timely access to specialized legal advice, relying instead on informal channels with delays of 48 to 72 hours and limited auditable traceability. The objective of this work is to design and validate a web platform that connects physicians with lawyers specialized in medical law in a traceable and explainable manner. As a contribution, we propose Sinapsistencia, a microservice-based system that integrates legal-risk estimation through a random forest model, content-based lawyer recommendation through TF-IDF and cosine similarity, and case-level auditability in a single workflow. The prototype was evaluated offline on 6,000 synthetic cases generated with business rules and controlled noise, and through five automated integration test suites. The risk model reached macro precision of 0.6179, macro recall of 0.5973, and macro F1-score of 0.6034, with local mean inference latency close to 120 ms; integration tests passed with a 100% success rate. We conclude that a hybrid and explainable approach is technically feasible to support, rather than replace, medical-legal decision-making in a domain highly sensitive to professional liability.</w:t>
      </w:r>
    </w:p>
    <w:p>
      <w:pPr>
        <w:spacing w:before="0" w:after="120" w:line="240" w:lineRule="auto"/>
      </w:pPr>
      <w:r>
        <w:rPr>
          <w:rFonts w:ascii="Times New Roman" w:hAnsi="Times New Roman"/>
          <w:b w:val="0"/>
          <w:i w:val="0"/>
          <w:sz w:val="18"/>
        </w:rPr>
        <w:t>Index Terms- medical-legal advisory; explainable machine learning; random forests; information retrieval; health informatics; Peruvian healthcare sector.</w:t>
      </w:r>
    </w:p>
    <w:p>
      <w:pPr>
        <w:sectPr>
          <w:pgSz w:w="11906" w:h="16838"/>
          <w:pgMar w:top="1020" w:right="935" w:bottom="1020" w:left="935" w:header="720" w:footer="720" w:gutter="0"/>
          <w:cols w:space="720" w:num="1"/>
          <w:docGrid w:linePitch="360"/>
        </w:sectPr>
      </w:pPr>
    </w:p>
    <w:p>
      <w:pPr>
        <w:keepNext/>
        <w:spacing w:before="80" w:after="60" w:line="240" w:lineRule="auto"/>
        <w:jc w:val="center"/>
      </w:pPr>
      <w:r>
        <w:rPr>
          <w:rFonts w:ascii="Times New Roman" w:hAnsi="Times New Roman"/>
          <w:b/>
          <w:i w:val="0"/>
          <w:smallCaps/>
          <w:sz w:val="20"/>
        </w:rPr>
        <w:t>I. INTRODUCTION</w:t>
      </w:r>
    </w:p>
    <w:p>
      <w:pPr>
        <w:spacing w:before="0" w:after="60" w:line="240" w:lineRule="auto"/>
      </w:pPr>
      <w:r>
        <w:rPr>
          <w:rFonts w:ascii="Times New Roman" w:hAnsi="Times New Roman"/>
          <w:b w:val="0"/>
          <w:i w:val="0"/>
        </w:rPr>
        <w:t>In Peru, healthcare professionals face growing exposure to claims of alleged malpractice and medical negligence. SUSALUD reported more than 163,000 health-rights-related attentions during 2024 alone, reflecting sustained demand for formal complaint, mediation, and specialized consultation mechanisms [1]. In parallel, the Ombudsman’s Office identified management and resolution-capacity gaps in specialized health institutions [2]. International literature likewise associates malpractice claims with inadequate clinical assessment, communication failures, and weak documentation [3], [4]. This scenario increases legal-professional vulnerability, fosters defensive medicine [5], and hinders early case structuring ahead of potential litigation [6].</w:t>
      </w:r>
    </w:p>
    <w:p>
      <w:pPr>
        <w:spacing w:before="0" w:after="60" w:line="240" w:lineRule="auto"/>
      </w:pPr>
      <w:r>
        <w:rPr>
          <w:rFonts w:ascii="Times New Roman" w:hAnsi="Times New Roman"/>
          <w:b w:val="0"/>
          <w:i w:val="0"/>
        </w:rPr>
        <w:t>The problem is relevant because delays in legal guidance compound this vulnerability. When faced with a suspected malpractice incident, physicians often rely on informal channels such as instant messaging, phone calls, e-mail, or personal contacts, with estimated delays of 48 to 72 hours and limited traceability [7], [8]. The problem is hard because naive digital approaches fail for three domain-specific reasons: medical-legal data are sensitive and regulated [9]; black-box outputs are ethically unsuitable where professional liability is at stake [10], [11]; and the absence of dense physician-lawyer interaction histories makes collaborative filtering inappropriate under cold-start conditions.</w:t>
      </w:r>
    </w:p>
    <w:p>
      <w:pPr>
        <w:spacing w:before="0" w:after="60" w:line="240" w:lineRule="auto"/>
      </w:pPr>
      <w:r>
        <w:rPr>
          <w:rFonts w:ascii="Times New Roman" w:hAnsi="Times New Roman"/>
          <w:b w:val="0"/>
          <w:i w:val="0"/>
        </w:rPr>
        <w:t>Existing solutions address only fragments of the process. Electronic health records solve clinical documentation but not legal mediation. Legal AI platforms such as Eve, DigitalOwl, and CloudLex support plaintiff firms or legal teams with casework and medical-record review [12]-[14]. Legalify connects users with lawyers by specialty and location [15], Medical Legal Center offers legal protection for physicians under a membership model [16], and SAGE provides medical-legal guidance for members [17]. None integrates supervised consultation classification, content-based physician-lawyer matching, explainability, and case traceability in a workflow centered on the healthcare professional.</w:t>
      </w:r>
    </w:p>
    <w:p>
      <w:pPr>
        <w:spacing w:before="0" w:after="60" w:line="240" w:lineRule="auto"/>
      </w:pPr>
      <w:r>
        <w:rPr>
          <w:rFonts w:ascii="Times New Roman" w:hAnsi="Times New Roman"/>
          <w:b w:val="0"/>
          <w:i w:val="0"/>
        </w:rPr>
        <w:t>To close this gap, we propose Sinapsistencia, a web platform for medical-legal mediation with three role-specific portals-physician, lawyer, and administrator-a Spring Boot backend, an independent FastAPI machine-learning service, PostgreSQL persistence, and an audit log for critical actions. Current limitations include synthetic training data, a pilot validation without real patient records, and a first model iteration whose predictive performance remains moderate.</w:t>
      </w:r>
    </w:p>
    <w:p>
      <w:pPr>
        <w:spacing w:before="0" w:after="60" w:line="240" w:lineRule="auto"/>
      </w:pPr>
      <w:r>
        <w:rPr>
          <w:rFonts w:ascii="Times New Roman" w:hAnsi="Times New Roman"/>
          <w:b w:val="0"/>
          <w:i w:val="0"/>
        </w:rPr>
        <w:t>The remainder of this paper is organized as follows. Section II reviews related work; Section III presents the contribution; Section IV describes the solution; Section V reports validation; and Section VI concludes.</w:t>
      </w:r>
    </w:p>
    <w:p>
      <w:pPr>
        <w:keepNext/>
        <w:spacing w:before="80" w:after="60" w:line="240" w:lineRule="auto"/>
        <w:jc w:val="center"/>
      </w:pPr>
      <w:r>
        <w:rPr>
          <w:rFonts w:ascii="Times New Roman" w:hAnsi="Times New Roman"/>
          <w:b/>
          <w:i w:val="0"/>
          <w:smallCaps/>
          <w:sz w:val="20"/>
        </w:rPr>
        <w:t>II. LITERATURE REVIEW</w:t>
      </w:r>
    </w:p>
    <w:p>
      <w:pPr>
        <w:keepNext/>
        <w:spacing w:before="80" w:after="60" w:line="240" w:lineRule="auto"/>
        <w:jc w:val="left"/>
      </w:pPr>
      <w:r>
        <w:rPr>
          <w:rFonts w:ascii="Times New Roman" w:hAnsi="Times New Roman"/>
          <w:b/>
          <w:i w:val="0"/>
          <w:sz w:val="20"/>
        </w:rPr>
        <w:t>A. Medical Negligence and Digital Liability</w:t>
      </w:r>
    </w:p>
    <w:p>
      <w:pPr>
        <w:spacing w:before="0" w:after="60" w:line="240" w:lineRule="auto"/>
      </w:pPr>
      <w:r>
        <w:rPr>
          <w:rFonts w:ascii="Times New Roman" w:hAnsi="Times New Roman"/>
          <w:b w:val="0"/>
          <w:i w:val="0"/>
        </w:rPr>
        <w:t>Miziara and Miziara [5] highlight documentation and communication as recurring points of failure in medical errors and defensive medicine. Prieto et al. [3] identify inadequate assessment and communication problems in pediatric surgery claims, while Gunenc et al. [4] connect litigation stress with defensive medicine in high-risk specialties. Ugarte Mostajo [18] analyzes the duty to inform as a pillar of medical civil liability in Peru. These works justify structured case capture and document traceability, but they do not propose a digital mechanism that directly connects physicians with specialized lawyers.</w:t>
      </w:r>
    </w:p>
    <w:p>
      <w:pPr>
        <w:keepNext/>
        <w:spacing w:before="80" w:after="60" w:line="240" w:lineRule="auto"/>
        <w:jc w:val="left"/>
      </w:pPr>
      <w:r>
        <w:rPr>
          <w:rFonts w:ascii="Times New Roman" w:hAnsi="Times New Roman"/>
          <w:b/>
          <w:i w:val="0"/>
          <w:sz w:val="20"/>
        </w:rPr>
        <w:t>B. Trustworthy AI in Clinical and Legal Contexts</w:t>
      </w:r>
    </w:p>
    <w:p>
      <w:pPr>
        <w:spacing w:before="0" w:after="60" w:line="240" w:lineRule="auto"/>
      </w:pPr>
      <w:r>
        <w:rPr>
          <w:rFonts w:ascii="Times New Roman" w:hAnsi="Times New Roman"/>
          <w:b w:val="0"/>
          <w:i w:val="0"/>
        </w:rPr>
        <w:t>Jones et al. [10] report that clinicians’ trust in AI-based decision support depends on transparency and retention of human control. Wang et al. [19] recommend human-centered design, transparency, and clear usage boundaries for AI-enabled clinical systems. Scott et al. [11] identify the lack of explanations as a barrier to clinical adoption. Therefore, Sinapsistencia persists risk factors and displays warnings that AI outputs are non-deterministic support rather than legal or clinical decisions.</w:t>
      </w:r>
    </w:p>
    <w:p>
      <w:pPr>
        <w:keepNext/>
        <w:spacing w:before="80" w:after="60" w:line="240" w:lineRule="auto"/>
        <w:jc w:val="left"/>
      </w:pPr>
      <w:r>
        <w:rPr>
          <w:rFonts w:ascii="Times New Roman" w:hAnsi="Times New Roman"/>
          <w:b/>
          <w:i w:val="0"/>
          <w:sz w:val="20"/>
        </w:rPr>
        <w:t>C. Matching and Risk Modeling</w:t>
      </w:r>
    </w:p>
    <w:p>
      <w:pPr>
        <w:spacing w:before="0" w:after="60" w:line="240" w:lineRule="auto"/>
      </w:pPr>
      <w:r>
        <w:rPr>
          <w:rFonts w:ascii="Times New Roman" w:hAnsi="Times New Roman"/>
          <w:b w:val="0"/>
          <w:i w:val="0"/>
        </w:rPr>
        <w:t>Manning et al. [20], Ricci et al. [21], and Aggarwal [22] support content-based recommendation as a suitable strategy under cold-start conditions. Random forests, introduced by Breiman [23] and used in clinical risk prediction by Wongvibulsin et al. [24], provide a robust baseline for tabular risk scoring. However, Wallace et al. [25] warn against causal overinterpretation of variable importance. Sinapsistencia couples these techniques within a medical-legal workflow, using synthetic data aligned with Peruvian data-protection restrictions [9].</w:t>
      </w:r>
    </w:p>
    <w:p>
      <w:pPr>
        <w:keepNext/>
        <w:spacing w:before="80" w:after="60" w:line="240" w:lineRule="auto"/>
        <w:jc w:val="left"/>
      </w:pPr>
      <w:r>
        <w:rPr>
          <w:rFonts w:ascii="Times New Roman" w:hAnsi="Times New Roman"/>
          <w:b/>
          <w:i w:val="0"/>
          <w:sz w:val="20"/>
        </w:rPr>
        <w:t>D. Existing Digital Platforms</w:t>
      </w:r>
    </w:p>
    <w:p>
      <w:pPr>
        <w:spacing w:before="0" w:after="60" w:line="240" w:lineRule="auto"/>
      </w:pPr>
      <w:r>
        <w:rPr>
          <w:rFonts w:ascii="Times New Roman" w:hAnsi="Times New Roman"/>
          <w:b w:val="0"/>
          <w:i w:val="0"/>
        </w:rPr>
        <w:t>Eve, DigitalOwl, and CloudLex digitize legal casework, medical-record review, or personal-injury practice management [12]-[14]. Legalify, Medical Legal Center, and SAGE provide legal connection or medical-legal advisory services [15]-[17]. These platforms are valuable but do not simultaneously provide physician-centered intake, risk classification, explainable matching, and auditable follow-up for the Peruvian healthcare context.</w:t>
      </w:r>
    </w:p>
    <w:p>
      <w:pPr>
        <w:spacing w:before="80" w:after="40" w:line="240" w:lineRule="auto"/>
        <w:jc w:val="center"/>
      </w:pPr>
      <w:r>
        <w:rPr>
          <w:rFonts w:ascii="Times New Roman" w:hAnsi="Times New Roman"/>
          <w:b/>
          <w:i w:val="0"/>
          <w:sz w:val="16"/>
        </w:rPr>
        <w:t>TABLE I. COMPARISON OF DIGITAL MEDICAL-LEGAL SOLUTIONS</w:t>
      </w:r>
    </w:p>
    <w:tbl>
      <w:tblPr>
        <w:tblStyle w:val="TableGrid"/>
        <w:tblW w:type="auto" w:w="0"/>
        <w:jc w:val="center"/>
        <w:tblLook w:firstColumn="1" w:firstRow="1" w:lastColumn="0" w:lastRow="0" w:noHBand="0" w:noVBand="1" w:val="04A0"/>
      </w:tblPr>
      <w:tblGrid>
        <w:gridCol w:w="2007"/>
        <w:gridCol w:w="2007"/>
        <w:gridCol w:w="2007"/>
        <w:gridCol w:w="2007"/>
        <w:gridCol w:w="2007"/>
      </w:tblGrid>
      <w:tr>
        <w:tc>
          <w:tcPr>
            <w:tcW w:type="dxa" w:w="2007"/>
            <w:vAlign w:val="center"/>
            <w:shd w:fill="D9EAF7"/>
          </w:tcPr>
          <w:p>
            <w:pPr>
              <w:spacing w:after="0" w:line="240" w:lineRule="auto"/>
            </w:pPr>
            <w:r/>
            <w:r>
              <w:rPr>
                <w:rFonts w:ascii="Times New Roman" w:hAnsi="Times New Roman"/>
                <w:b/>
                <w:sz w:val="16"/>
              </w:rPr>
              <w:t>Solution</w:t>
            </w:r>
          </w:p>
        </w:tc>
        <w:tc>
          <w:tcPr>
            <w:tcW w:type="dxa" w:w="2007"/>
            <w:vAlign w:val="center"/>
            <w:shd w:fill="D9EAF7"/>
          </w:tcPr>
          <w:p>
            <w:pPr>
              <w:spacing w:after="0" w:line="240" w:lineRule="auto"/>
            </w:pPr>
            <w:r/>
            <w:r>
              <w:rPr>
                <w:rFonts w:ascii="Times New Roman" w:hAnsi="Times New Roman"/>
                <w:b/>
                <w:sz w:val="16"/>
              </w:rPr>
              <w:t>Risk class.</w:t>
            </w:r>
          </w:p>
        </w:tc>
        <w:tc>
          <w:tcPr>
            <w:tcW w:type="dxa" w:w="2007"/>
            <w:vAlign w:val="center"/>
            <w:shd w:fill="D9EAF7"/>
          </w:tcPr>
          <w:p>
            <w:pPr>
              <w:spacing w:after="0" w:line="240" w:lineRule="auto"/>
            </w:pPr>
            <w:r/>
            <w:r>
              <w:rPr>
                <w:rFonts w:ascii="Times New Roman" w:hAnsi="Times New Roman"/>
                <w:b/>
                <w:sz w:val="16"/>
              </w:rPr>
              <w:t>Content match</w:t>
            </w:r>
          </w:p>
        </w:tc>
        <w:tc>
          <w:tcPr>
            <w:tcW w:type="dxa" w:w="2007"/>
            <w:vAlign w:val="center"/>
            <w:shd w:fill="D9EAF7"/>
          </w:tcPr>
          <w:p>
            <w:pPr>
              <w:spacing w:after="0" w:line="240" w:lineRule="auto"/>
            </w:pPr>
            <w:r/>
            <w:r>
              <w:rPr>
                <w:rFonts w:ascii="Times New Roman" w:hAnsi="Times New Roman"/>
                <w:b/>
                <w:sz w:val="16"/>
              </w:rPr>
              <w:t>Traceability</w:t>
            </w:r>
          </w:p>
        </w:tc>
        <w:tc>
          <w:tcPr>
            <w:tcW w:type="dxa" w:w="2007"/>
            <w:vAlign w:val="center"/>
            <w:shd w:fill="D9EAF7"/>
          </w:tcPr>
          <w:p>
            <w:pPr>
              <w:spacing w:after="0" w:line="240" w:lineRule="auto"/>
            </w:pPr>
            <w:r/>
            <w:r>
              <w:rPr>
                <w:rFonts w:ascii="Times New Roman" w:hAnsi="Times New Roman"/>
                <w:b/>
                <w:sz w:val="16"/>
              </w:rPr>
              <w:t>Explainability</w:t>
            </w:r>
          </w:p>
        </w:tc>
      </w:tr>
      <w:tr>
        <w:tc>
          <w:tcPr>
            <w:tcW w:type="dxa" w:w="2007"/>
            <w:vAlign w:val="center"/>
          </w:tcPr>
          <w:p>
            <w:pPr>
              <w:spacing w:after="0" w:line="240" w:lineRule="auto"/>
            </w:pPr>
            <w:r/>
            <w:r>
              <w:rPr>
                <w:rFonts w:ascii="Times New Roman" w:hAnsi="Times New Roman"/>
                <w:b w:val="0"/>
                <w:sz w:val="16"/>
              </w:rPr>
              <w:t>Electronic health records</w:t>
            </w:r>
          </w:p>
        </w:tc>
        <w:tc>
          <w:tcPr>
            <w:tcW w:type="dxa" w:w="2007"/>
            <w:vAlign w:val="center"/>
          </w:tcPr>
          <w:p>
            <w:pPr>
              <w:spacing w:after="0" w:line="240" w:lineRule="auto"/>
            </w:pPr>
            <w:r/>
            <w:r>
              <w:rPr>
                <w:rFonts w:ascii="Times New Roman" w:hAnsi="Times New Roman"/>
                <w:b w:val="0"/>
                <w:sz w:val="16"/>
              </w:rPr>
              <w:t>No</w:t>
            </w:r>
          </w:p>
        </w:tc>
        <w:tc>
          <w:tcPr>
            <w:tcW w:type="dxa" w:w="2007"/>
            <w:vAlign w:val="center"/>
          </w:tcPr>
          <w:p>
            <w:pPr>
              <w:spacing w:after="0" w:line="240" w:lineRule="auto"/>
            </w:pPr>
            <w:r/>
            <w:r>
              <w:rPr>
                <w:rFonts w:ascii="Times New Roman" w:hAnsi="Times New Roman"/>
                <w:b w:val="0"/>
                <w:sz w:val="16"/>
              </w:rPr>
              <w:t>No</w:t>
            </w:r>
          </w:p>
        </w:tc>
        <w:tc>
          <w:tcPr>
            <w:tcW w:type="dxa" w:w="2007"/>
            <w:vAlign w:val="center"/>
          </w:tcPr>
          <w:p>
            <w:pPr>
              <w:spacing w:after="0" w:line="240" w:lineRule="auto"/>
            </w:pPr>
            <w:r/>
            <w:r>
              <w:rPr>
                <w:rFonts w:ascii="Times New Roman" w:hAnsi="Times New Roman"/>
                <w:b w:val="0"/>
                <w:sz w:val="16"/>
              </w:rPr>
              <w:t>Partial</w:t>
            </w:r>
          </w:p>
        </w:tc>
        <w:tc>
          <w:tcPr>
            <w:tcW w:type="dxa" w:w="2007"/>
            <w:vAlign w:val="center"/>
          </w:tcPr>
          <w:p>
            <w:pPr>
              <w:spacing w:after="0" w:line="240" w:lineRule="auto"/>
            </w:pPr>
            <w:r/>
            <w:r>
              <w:rPr>
                <w:rFonts w:ascii="Times New Roman" w:hAnsi="Times New Roman"/>
                <w:b w:val="0"/>
                <w:sz w:val="16"/>
              </w:rPr>
              <w:t>No</w:t>
            </w:r>
          </w:p>
        </w:tc>
      </w:tr>
      <w:tr>
        <w:tc>
          <w:tcPr>
            <w:tcW w:type="dxa" w:w="2007"/>
            <w:vAlign w:val="center"/>
          </w:tcPr>
          <w:p>
            <w:pPr>
              <w:spacing w:after="0" w:line="240" w:lineRule="auto"/>
            </w:pPr>
            <w:r/>
            <w:r>
              <w:rPr>
                <w:rFonts w:ascii="Times New Roman" w:hAnsi="Times New Roman"/>
                <w:b w:val="0"/>
                <w:sz w:val="16"/>
              </w:rPr>
              <w:t>Eve / DigitalOwl / CloudLex</w:t>
            </w:r>
          </w:p>
        </w:tc>
        <w:tc>
          <w:tcPr>
            <w:tcW w:type="dxa" w:w="2007"/>
            <w:vAlign w:val="center"/>
          </w:tcPr>
          <w:p>
            <w:pPr>
              <w:spacing w:after="0" w:line="240" w:lineRule="auto"/>
            </w:pPr>
            <w:r/>
            <w:r>
              <w:rPr>
                <w:rFonts w:ascii="Times New Roman" w:hAnsi="Times New Roman"/>
                <w:b w:val="0"/>
                <w:sz w:val="16"/>
              </w:rPr>
              <w:t>No</w:t>
            </w:r>
          </w:p>
        </w:tc>
        <w:tc>
          <w:tcPr>
            <w:tcW w:type="dxa" w:w="2007"/>
            <w:vAlign w:val="center"/>
          </w:tcPr>
          <w:p>
            <w:pPr>
              <w:spacing w:after="0" w:line="240" w:lineRule="auto"/>
            </w:pPr>
            <w:r/>
            <w:r>
              <w:rPr>
                <w:rFonts w:ascii="Times New Roman" w:hAnsi="Times New Roman"/>
                <w:b w:val="0"/>
                <w:sz w:val="16"/>
              </w:rPr>
              <w:t>No</w:t>
            </w:r>
          </w:p>
        </w:tc>
        <w:tc>
          <w:tcPr>
            <w:tcW w:type="dxa" w:w="2007"/>
            <w:vAlign w:val="center"/>
          </w:tcPr>
          <w:p>
            <w:pPr>
              <w:spacing w:after="0" w:line="240" w:lineRule="auto"/>
            </w:pPr>
            <w:r/>
            <w:r>
              <w:rPr>
                <w:rFonts w:ascii="Times New Roman" w:hAnsi="Times New Roman"/>
                <w:b w:val="0"/>
                <w:sz w:val="16"/>
              </w:rPr>
              <w:t>Partial</w:t>
            </w:r>
          </w:p>
        </w:tc>
        <w:tc>
          <w:tcPr>
            <w:tcW w:type="dxa" w:w="2007"/>
            <w:vAlign w:val="center"/>
          </w:tcPr>
          <w:p>
            <w:pPr>
              <w:spacing w:after="0" w:line="240" w:lineRule="auto"/>
            </w:pPr>
            <w:r/>
            <w:r>
              <w:rPr>
                <w:rFonts w:ascii="Times New Roman" w:hAnsi="Times New Roman"/>
                <w:b w:val="0"/>
                <w:sz w:val="16"/>
              </w:rPr>
              <w:t>Variable</w:t>
            </w:r>
          </w:p>
        </w:tc>
      </w:tr>
      <w:tr>
        <w:tc>
          <w:tcPr>
            <w:tcW w:type="dxa" w:w="2007"/>
            <w:vAlign w:val="center"/>
          </w:tcPr>
          <w:p>
            <w:pPr>
              <w:spacing w:after="0" w:line="240" w:lineRule="auto"/>
            </w:pPr>
            <w:r/>
            <w:r>
              <w:rPr>
                <w:rFonts w:ascii="Times New Roman" w:hAnsi="Times New Roman"/>
                <w:b w:val="0"/>
                <w:sz w:val="16"/>
              </w:rPr>
              <w:t>Legalify / Medical Legal Center / SAGE</w:t>
            </w:r>
          </w:p>
        </w:tc>
        <w:tc>
          <w:tcPr>
            <w:tcW w:type="dxa" w:w="2007"/>
            <w:vAlign w:val="center"/>
          </w:tcPr>
          <w:p>
            <w:pPr>
              <w:spacing w:after="0" w:line="240" w:lineRule="auto"/>
            </w:pPr>
            <w:r/>
            <w:r>
              <w:rPr>
                <w:rFonts w:ascii="Times New Roman" w:hAnsi="Times New Roman"/>
                <w:b w:val="0"/>
                <w:sz w:val="16"/>
              </w:rPr>
              <w:t>No</w:t>
            </w:r>
          </w:p>
        </w:tc>
        <w:tc>
          <w:tcPr>
            <w:tcW w:type="dxa" w:w="2007"/>
            <w:vAlign w:val="center"/>
          </w:tcPr>
          <w:p>
            <w:pPr>
              <w:spacing w:after="0" w:line="240" w:lineRule="auto"/>
            </w:pPr>
            <w:r/>
            <w:r>
              <w:rPr>
                <w:rFonts w:ascii="Times New Roman" w:hAnsi="Times New Roman"/>
                <w:b w:val="0"/>
                <w:sz w:val="16"/>
              </w:rPr>
              <w:t>Partial</w:t>
            </w:r>
          </w:p>
        </w:tc>
        <w:tc>
          <w:tcPr>
            <w:tcW w:type="dxa" w:w="2007"/>
            <w:vAlign w:val="center"/>
          </w:tcPr>
          <w:p>
            <w:pPr>
              <w:spacing w:after="0" w:line="240" w:lineRule="auto"/>
            </w:pPr>
            <w:r/>
            <w:r>
              <w:rPr>
                <w:rFonts w:ascii="Times New Roman" w:hAnsi="Times New Roman"/>
                <w:b w:val="0"/>
                <w:sz w:val="16"/>
              </w:rPr>
              <w:t>Partial</w:t>
            </w:r>
          </w:p>
        </w:tc>
        <w:tc>
          <w:tcPr>
            <w:tcW w:type="dxa" w:w="2007"/>
            <w:vAlign w:val="center"/>
          </w:tcPr>
          <w:p>
            <w:pPr>
              <w:spacing w:after="0" w:line="240" w:lineRule="auto"/>
            </w:pPr>
            <w:r/>
            <w:r>
              <w:rPr>
                <w:rFonts w:ascii="Times New Roman" w:hAnsi="Times New Roman"/>
                <w:b w:val="0"/>
                <w:sz w:val="16"/>
              </w:rPr>
              <w:t>No</w:t>
            </w:r>
          </w:p>
        </w:tc>
      </w:tr>
      <w:tr>
        <w:tc>
          <w:tcPr>
            <w:tcW w:type="dxa" w:w="2007"/>
            <w:vAlign w:val="center"/>
          </w:tcPr>
          <w:p>
            <w:pPr>
              <w:spacing w:after="0" w:line="240" w:lineRule="auto"/>
            </w:pPr>
            <w:r/>
            <w:r>
              <w:rPr>
                <w:rFonts w:ascii="Times New Roman" w:hAnsi="Times New Roman"/>
                <w:b w:val="0"/>
                <w:sz w:val="16"/>
              </w:rPr>
              <w:t>Clinical decision-support systems</w:t>
            </w:r>
          </w:p>
        </w:tc>
        <w:tc>
          <w:tcPr>
            <w:tcW w:type="dxa" w:w="2007"/>
            <w:vAlign w:val="center"/>
          </w:tcPr>
          <w:p>
            <w:pPr>
              <w:spacing w:after="0" w:line="240" w:lineRule="auto"/>
            </w:pPr>
            <w:r/>
            <w:r>
              <w:rPr>
                <w:rFonts w:ascii="Times New Roman" w:hAnsi="Times New Roman"/>
                <w:b w:val="0"/>
                <w:sz w:val="16"/>
              </w:rPr>
              <w:t>Yes (clinical)</w:t>
            </w:r>
          </w:p>
        </w:tc>
        <w:tc>
          <w:tcPr>
            <w:tcW w:type="dxa" w:w="2007"/>
            <w:vAlign w:val="center"/>
          </w:tcPr>
          <w:p>
            <w:pPr>
              <w:spacing w:after="0" w:line="240" w:lineRule="auto"/>
            </w:pPr>
            <w:r/>
            <w:r>
              <w:rPr>
                <w:rFonts w:ascii="Times New Roman" w:hAnsi="Times New Roman"/>
                <w:b w:val="0"/>
                <w:sz w:val="16"/>
              </w:rPr>
              <w:t>No</w:t>
            </w:r>
          </w:p>
        </w:tc>
        <w:tc>
          <w:tcPr>
            <w:tcW w:type="dxa" w:w="2007"/>
            <w:vAlign w:val="center"/>
          </w:tcPr>
          <w:p>
            <w:pPr>
              <w:spacing w:after="0" w:line="240" w:lineRule="auto"/>
            </w:pPr>
            <w:r/>
            <w:r>
              <w:rPr>
                <w:rFonts w:ascii="Times New Roman" w:hAnsi="Times New Roman"/>
                <w:b w:val="0"/>
                <w:sz w:val="16"/>
              </w:rPr>
              <w:t>Partial</w:t>
            </w:r>
          </w:p>
        </w:tc>
        <w:tc>
          <w:tcPr>
            <w:tcW w:type="dxa" w:w="2007"/>
            <w:vAlign w:val="center"/>
          </w:tcPr>
          <w:p>
            <w:pPr>
              <w:spacing w:after="0" w:line="240" w:lineRule="auto"/>
            </w:pPr>
            <w:r/>
            <w:r>
              <w:rPr>
                <w:rFonts w:ascii="Times New Roman" w:hAnsi="Times New Roman"/>
                <w:b w:val="0"/>
                <w:sz w:val="16"/>
              </w:rPr>
              <w:t>Variable</w:t>
            </w:r>
          </w:p>
        </w:tc>
      </w:tr>
      <w:tr>
        <w:tc>
          <w:tcPr>
            <w:tcW w:type="dxa" w:w="2007"/>
            <w:vAlign w:val="center"/>
          </w:tcPr>
          <w:p>
            <w:pPr>
              <w:spacing w:after="0" w:line="240" w:lineRule="auto"/>
            </w:pPr>
            <w:r/>
            <w:r>
              <w:rPr>
                <w:rFonts w:ascii="Times New Roman" w:hAnsi="Times New Roman"/>
                <w:b w:val="0"/>
                <w:sz w:val="16"/>
              </w:rPr>
              <w:t>Sinapsistencia (proposed)</w:t>
            </w:r>
          </w:p>
        </w:tc>
        <w:tc>
          <w:tcPr>
            <w:tcW w:type="dxa" w:w="2007"/>
            <w:vAlign w:val="center"/>
          </w:tcPr>
          <w:p>
            <w:pPr>
              <w:spacing w:after="0" w:line="240" w:lineRule="auto"/>
            </w:pPr>
            <w:r/>
            <w:r>
              <w:rPr>
                <w:rFonts w:ascii="Times New Roman" w:hAnsi="Times New Roman"/>
                <w:b w:val="0"/>
                <w:sz w:val="16"/>
              </w:rPr>
              <w:t>Yes</w:t>
            </w:r>
          </w:p>
        </w:tc>
        <w:tc>
          <w:tcPr>
            <w:tcW w:type="dxa" w:w="2007"/>
            <w:vAlign w:val="center"/>
          </w:tcPr>
          <w:p>
            <w:pPr>
              <w:spacing w:after="0" w:line="240" w:lineRule="auto"/>
            </w:pPr>
            <w:r/>
            <w:r>
              <w:rPr>
                <w:rFonts w:ascii="Times New Roman" w:hAnsi="Times New Roman"/>
                <w:b w:val="0"/>
                <w:sz w:val="16"/>
              </w:rPr>
              <w:t>Yes</w:t>
            </w:r>
          </w:p>
        </w:tc>
        <w:tc>
          <w:tcPr>
            <w:tcW w:type="dxa" w:w="2007"/>
            <w:vAlign w:val="center"/>
          </w:tcPr>
          <w:p>
            <w:pPr>
              <w:spacing w:after="0" w:line="240" w:lineRule="auto"/>
            </w:pPr>
            <w:r/>
            <w:r>
              <w:rPr>
                <w:rFonts w:ascii="Times New Roman" w:hAnsi="Times New Roman"/>
                <w:b w:val="0"/>
                <w:sz w:val="16"/>
              </w:rPr>
              <w:t>Yes</w:t>
            </w:r>
          </w:p>
        </w:tc>
        <w:tc>
          <w:tcPr>
            <w:tcW w:type="dxa" w:w="2007"/>
            <w:vAlign w:val="center"/>
          </w:tcPr>
          <w:p>
            <w:pPr>
              <w:spacing w:after="0" w:line="240" w:lineRule="auto"/>
            </w:pPr>
            <w:r/>
            <w:r>
              <w:rPr>
                <w:rFonts w:ascii="Times New Roman" w:hAnsi="Times New Roman"/>
                <w:b w:val="0"/>
                <w:sz w:val="16"/>
              </w:rPr>
              <w:t>Yes</w:t>
            </w:r>
          </w:p>
        </w:tc>
      </w:tr>
    </w:tbl>
    <w:p>
      <w:pPr>
        <w:keepNext/>
        <w:spacing w:before="80" w:after="60" w:line="240" w:lineRule="auto"/>
        <w:jc w:val="center"/>
      </w:pPr>
      <w:r>
        <w:rPr>
          <w:rFonts w:ascii="Times New Roman" w:hAnsi="Times New Roman"/>
          <w:b/>
          <w:i w:val="0"/>
          <w:smallCaps/>
          <w:sz w:val="20"/>
        </w:rPr>
        <w:t>III. CONTRIBUTION</w:t>
      </w:r>
    </w:p>
    <w:p>
      <w:pPr>
        <w:spacing w:before="0" w:after="60" w:line="240" w:lineRule="auto"/>
      </w:pPr>
      <w:r>
        <w:rPr>
          <w:rFonts w:ascii="Times New Roman" w:hAnsi="Times New Roman"/>
          <w:b w:val="0"/>
          <w:i w:val="0"/>
        </w:rPr>
        <w:t>The contribution of this work is a software artifact-the Sinapsistencia platform-that integrates explainable machine learning, content-based matching, and auditable traceability within a single medical-legal mediation workflow. The added value is concretized in four contributions:</w:t>
      </w:r>
    </w:p>
    <w:p>
      <w:pPr>
        <w:spacing w:before="0" w:after="60" w:line="240" w:lineRule="auto"/>
      </w:pPr>
      <w:r>
        <w:rPr>
          <w:rFonts w:ascii="Times New Roman" w:hAnsi="Times New Roman"/>
          <w:b w:val="0"/>
          <w:i w:val="0"/>
        </w:rPr>
        <w:t>C1. Integrated mediation workflow. Legal-risk classification, lawyer recommendation, and traceable case follow-up are unified in one digital process aimed at the healthcare professional.</w:t>
      </w:r>
    </w:p>
    <w:p>
      <w:pPr>
        <w:spacing w:before="0" w:after="60" w:line="240" w:lineRule="auto"/>
      </w:pPr>
      <w:r>
        <w:rPr>
          <w:rFonts w:ascii="Times New Roman" w:hAnsi="Times New Roman"/>
          <w:b w:val="0"/>
          <w:i w:val="0"/>
        </w:rPr>
        <w:t>C2. Explainable and decoupled inference. Inference runs in an independent FastAPI microservice and stores model version, risk level, score, and factors displayed as decision support.</w:t>
      </w:r>
    </w:p>
    <w:p>
      <w:pPr>
        <w:spacing w:before="0" w:after="60" w:line="240" w:lineRule="auto"/>
      </w:pPr>
      <w:r>
        <w:rPr>
          <w:rFonts w:ascii="Times New Roman" w:hAnsi="Times New Roman"/>
          <w:b w:val="0"/>
          <w:i w:val="0"/>
        </w:rPr>
        <w:t>C3. Cold-start fallback. If the machine-learning service is unavailable, lawyers are ranked by declared medical-area match, preserving continuity without historical interaction data.</w:t>
      </w:r>
    </w:p>
    <w:p>
      <w:pPr>
        <w:spacing w:before="0" w:after="60" w:line="240" w:lineRule="auto"/>
      </w:pPr>
      <w:r>
        <w:rPr>
          <w:rFonts w:ascii="Times New Roman" w:hAnsi="Times New Roman"/>
          <w:b w:val="0"/>
          <w:i w:val="0"/>
        </w:rPr>
        <w:t>C4. Reproducible synthetic dataset. A 6,000-case dataset generated through explicit business rules and controlled noise enables training without identifiable patient information.</w:t>
      </w:r>
    </w:p>
    <w:p>
      <w:pPr>
        <w:keepNext/>
        <w:spacing w:before="80" w:after="60" w:line="240" w:lineRule="auto"/>
        <w:jc w:val="center"/>
      </w:pPr>
      <w:r>
        <w:rPr>
          <w:rFonts w:ascii="Times New Roman" w:hAnsi="Times New Roman"/>
          <w:b/>
          <w:i w:val="0"/>
          <w:smallCaps/>
          <w:sz w:val="20"/>
        </w:rPr>
        <w:t>IV. PROPOSED SOLUTION</w:t>
      </w:r>
    </w:p>
    <w:p>
      <w:pPr>
        <w:spacing w:before="0" w:after="60" w:line="240" w:lineRule="auto"/>
      </w:pPr>
      <w:r>
        <w:rPr>
          <w:rFonts w:ascii="Times New Roman" w:hAnsi="Times New Roman"/>
          <w:b w:val="0"/>
          <w:i w:val="0"/>
        </w:rPr>
        <w:t>Sinapsistencia follows a decoupled microservice architecture (Fig. 1). The Angular frontend consumes REST APIs exposed by a Spring Boot backend secured with JSON Web Tokens and role-based access control. PostgreSQL stores operational data and Flyway versions schema migrations. FastAPI hosts risk and matching models and is invoked through an HTTP proxy with timeout and controlled degradation.</w:t>
      </w:r>
    </w:p>
    <w:p>
      <w:commentRangeStart w:id="0"/>
      <w:pPr>
        <w:pStyle w:val="CommentPlaceholder"/>
        <w:spacing w:before="0" w:after="60" w:line="240" w:lineRule="auto"/>
      </w:pPr>
      <w:r>
        <w:rPr>
          <w:rFonts w:ascii="Times New Roman" w:hAnsi="Times New Roman"/>
          <w:b w:val="0"/>
          <w:i w:val="0"/>
        </w:rPr>
        <w:t>[FIGURE PENDING 1: Layered architecture of Sinapsistencia / Arquitectura por capas de Sinapsistencia]</w:t>
      </w:r>
      <w:commentRangeEnd w:id="0"/>
      <w:r>
        <w:commentReference w:id="0"/>
      </w:r>
    </w:p>
    <w:p>
      <w:pPr>
        <w:keepNext/>
        <w:spacing w:before="80" w:after="60" w:line="240" w:lineRule="auto"/>
        <w:jc w:val="left"/>
      </w:pPr>
      <w:r>
        <w:rPr>
          <w:rFonts w:ascii="Times New Roman" w:hAnsi="Times New Roman"/>
          <w:b/>
          <w:i w:val="0"/>
          <w:sz w:val="20"/>
        </w:rPr>
        <w:t>A. System Architecture</w:t>
      </w:r>
    </w:p>
    <w:p>
      <w:pPr>
        <w:spacing w:before="0" w:after="60" w:line="240" w:lineRule="auto"/>
      </w:pPr>
      <w:r>
        <w:rPr>
          <w:rFonts w:ascii="Times New Roman" w:hAnsi="Times New Roman"/>
          <w:b w:val="0"/>
          <w:i w:val="0"/>
        </w:rPr>
        <w:t>The physician portal registers consultations with simulated clinical-legal context without identifiable patient data. The lawyer portal lists pending or relevant cases according to the lawyer’s declared specialties. The administrator portal manages users, audit logs, model metrics, and reports. Ownership rules prevent physicians from viewing peer consultations, and these rules were validated through integration tests.</w:t>
      </w:r>
    </w:p>
    <w:p>
      <w:pPr>
        <w:keepNext/>
        <w:spacing w:before="80" w:after="60" w:line="240" w:lineRule="auto"/>
        <w:jc w:val="left"/>
      </w:pPr>
      <w:r>
        <w:rPr>
          <w:rFonts w:ascii="Times New Roman" w:hAnsi="Times New Roman"/>
          <w:b/>
          <w:i w:val="0"/>
          <w:sz w:val="20"/>
        </w:rPr>
        <w:t>B. Risk Assessment Model</w:t>
      </w:r>
    </w:p>
    <w:p>
      <w:pPr>
        <w:spacing w:before="0" w:after="60" w:line="240" w:lineRule="auto"/>
      </w:pPr>
      <w:r>
        <w:rPr>
          <w:rFonts w:ascii="Times New Roman" w:hAnsi="Times New Roman"/>
          <w:b w:val="0"/>
          <w:i w:val="0"/>
        </w:rPr>
        <w:t>The risk module predicts a continuous legal-risk score and a categorical level-low, moderate, high, or critical-from structured features: medical specialty, procedure complexity, clinical priority, documentation completeness, informed consent, prior complaints, and elapsed days since the incident. The current rf-v1 model uses a 200-tree random forest classifier and a random forest regressor. The system combines global feature importance with normalized case values to produce user-facing risk factors.</w:t>
      </w:r>
    </w:p>
    <w:p>
      <w:commentRangeStart w:id="1"/>
      <w:pPr>
        <w:pStyle w:val="CommentPlaceholder"/>
        <w:spacing w:before="0" w:after="60" w:line="240" w:lineRule="auto"/>
      </w:pPr>
      <w:r>
        <w:rPr>
          <w:rFonts w:ascii="Times New Roman" w:hAnsi="Times New Roman"/>
          <w:b w:val="0"/>
          <w:i w:val="0"/>
        </w:rPr>
        <w:t>[FIGURE PENDING 2: Risk-assessment and lawyer-recommendation workflow / Flujo de evaluación de riesgo y recomendación de abogado]</w:t>
      </w:r>
      <w:commentRangeEnd w:id="1"/>
      <w:r>
        <w:commentReference w:id="1"/>
      </w:r>
    </w:p>
    <w:p>
      <w:pPr>
        <w:keepNext/>
        <w:spacing w:before="80" w:after="60" w:line="240" w:lineRule="auto"/>
        <w:jc w:val="left"/>
      </w:pPr>
      <w:r>
        <w:rPr>
          <w:rFonts w:ascii="Times New Roman" w:hAnsi="Times New Roman"/>
          <w:b/>
          <w:i w:val="0"/>
          <w:sz w:val="20"/>
        </w:rPr>
        <w:t>C. Physician-Lawyer Matching</w:t>
      </w:r>
    </w:p>
    <w:p>
      <w:pPr>
        <w:spacing w:before="0" w:after="60" w:line="240" w:lineRule="auto"/>
      </w:pPr>
      <w:r>
        <w:rPr>
          <w:rFonts w:ascii="Times New Roman" w:hAnsi="Times New Roman"/>
          <w:b w:val="0"/>
          <w:i w:val="0"/>
        </w:rPr>
        <w:t>Lawyer profiles are vectorized from legal specialties, medical areas of interest, and biographical description using TF-IDF. Consultations are compared against these profiles through cosine similarity. The output includes a content-affinity score, matching specialties, and natural-language rationales. This approach is more appropriate than collaborative filtering because the prototype has no dense interaction history.</w:t>
      </w:r>
    </w:p>
    <w:p>
      <w:pPr>
        <w:keepNext/>
        <w:spacing w:before="80" w:after="60" w:line="240" w:lineRule="auto"/>
        <w:jc w:val="left"/>
      </w:pPr>
      <w:r>
        <w:rPr>
          <w:rFonts w:ascii="Times New Roman" w:hAnsi="Times New Roman"/>
          <w:b/>
          <w:i w:val="0"/>
          <w:sz w:val="20"/>
        </w:rPr>
        <w:t>D. API Contract and Traceability</w:t>
      </w:r>
    </w:p>
    <w:p>
      <w:pPr>
        <w:spacing w:before="0" w:after="60" w:line="240" w:lineRule="auto"/>
      </w:pPr>
      <w:r>
        <w:rPr>
          <w:rFonts w:ascii="Times New Roman" w:hAnsi="Times New Roman"/>
          <w:b w:val="0"/>
          <w:i w:val="0"/>
        </w:rPr>
        <w:t>The ML service exposes GET /health, GET /api/v1/model/info, POST /api/v1/risk-assessment, and POST /api/v1/recommendations. The backend proxies and normalizes responses for the frontend, while audit events record authentication, consultation changes, assignment events, document actions, and administrative operations.</w:t>
      </w:r>
    </w:p>
    <w:p>
      <w:pPr>
        <w:keepNext/>
        <w:spacing w:before="80" w:after="60" w:line="240" w:lineRule="auto"/>
        <w:jc w:val="center"/>
      </w:pPr>
      <w:r>
        <w:rPr>
          <w:rFonts w:ascii="Times New Roman" w:hAnsi="Times New Roman"/>
          <w:b/>
          <w:i w:val="0"/>
          <w:smallCaps/>
          <w:sz w:val="20"/>
        </w:rPr>
        <w:t>V. EXPERIMENTS AND VALIDATION</w:t>
      </w:r>
    </w:p>
    <w:p>
      <w:pPr>
        <w:keepNext/>
        <w:spacing w:before="80" w:after="60" w:line="240" w:lineRule="auto"/>
        <w:jc w:val="left"/>
      </w:pPr>
      <w:r>
        <w:rPr>
          <w:rFonts w:ascii="Times New Roman" w:hAnsi="Times New Roman"/>
          <w:b/>
          <w:i w:val="0"/>
          <w:sz w:val="20"/>
        </w:rPr>
        <w:t>A. Experimental Protocol</w:t>
      </w:r>
    </w:p>
    <w:p>
      <w:pPr>
        <w:spacing w:before="0" w:after="60" w:line="240" w:lineRule="auto"/>
      </w:pPr>
      <w:r>
        <w:rPr>
          <w:rFonts w:ascii="Times New Roman" w:hAnsi="Times New Roman"/>
          <w:b w:val="0"/>
          <w:i w:val="0"/>
        </w:rPr>
        <w:t>Validation followed four fronts aligned with the quality plan: offline model evaluation, backend integration testing, frontend production-build verification, and incremental functional scenarios from the academic test catalog. The synthetic dataset was split 80/20 with stratification on risk level. Experiments ran on Python 3.12, scikit-learn 1.5.2, and FastAPI 0.115.0. Matching was evaluated qualitatively using eight lawyer profiles seeded in PostgreSQL.</w:t>
      </w:r>
    </w:p>
    <w:p>
      <w:pPr>
        <w:keepNext/>
        <w:spacing w:before="80" w:after="60" w:line="240" w:lineRule="auto"/>
        <w:jc w:val="left"/>
      </w:pPr>
      <w:r>
        <w:rPr>
          <w:rFonts w:ascii="Times New Roman" w:hAnsi="Times New Roman"/>
          <w:b/>
          <w:i w:val="0"/>
          <w:sz w:val="20"/>
        </w:rPr>
        <w:t>B. Quantitative Results</w:t>
      </w:r>
    </w:p>
    <w:p>
      <w:pPr>
        <w:spacing w:before="80" w:after="40" w:line="240" w:lineRule="auto"/>
        <w:jc w:val="center"/>
      </w:pPr>
      <w:r>
        <w:rPr>
          <w:rFonts w:ascii="Times New Roman" w:hAnsi="Times New Roman"/>
          <w:b/>
          <w:i w:val="0"/>
          <w:sz w:val="16"/>
        </w:rPr>
        <w:t>TABLE II. EVALUATION METRICS OF THE RISK CLASSIFIER (rf-v1)</w:t>
      </w:r>
    </w:p>
    <w:tbl>
      <w:tblPr>
        <w:tblStyle w:val="TableGrid"/>
        <w:tblW w:type="auto" w:w="0"/>
        <w:jc w:val="center"/>
        <w:tblLook w:firstColumn="1" w:firstRow="1" w:lastColumn="0" w:lastRow="0" w:noHBand="0" w:noVBand="1" w:val="04A0"/>
      </w:tblPr>
      <w:tblGrid>
        <w:gridCol w:w="5018"/>
        <w:gridCol w:w="5018"/>
      </w:tblGrid>
      <w:tr>
        <w:tc>
          <w:tcPr>
            <w:tcW w:type="dxa" w:w="5018"/>
            <w:vAlign w:val="center"/>
            <w:shd w:fill="D9EAF7"/>
          </w:tcPr>
          <w:p>
            <w:pPr>
              <w:spacing w:after="0" w:line="240" w:lineRule="auto"/>
            </w:pPr>
            <w:r/>
            <w:r>
              <w:rPr>
                <w:rFonts w:ascii="Times New Roman" w:hAnsi="Times New Roman"/>
                <w:b/>
                <w:sz w:val="16"/>
              </w:rPr>
              <w:t>Metric</w:t>
            </w:r>
          </w:p>
        </w:tc>
        <w:tc>
          <w:tcPr>
            <w:tcW w:type="dxa" w:w="5018"/>
            <w:vAlign w:val="center"/>
            <w:shd w:fill="D9EAF7"/>
          </w:tcPr>
          <w:p>
            <w:pPr>
              <w:spacing w:after="0" w:line="240" w:lineRule="auto"/>
            </w:pPr>
            <w:r/>
            <w:r>
              <w:rPr>
                <w:rFonts w:ascii="Times New Roman" w:hAnsi="Times New Roman"/>
                <w:b/>
                <w:sz w:val="16"/>
              </w:rPr>
              <w:t>Value</w:t>
            </w:r>
          </w:p>
        </w:tc>
      </w:tr>
      <w:tr>
        <w:tc>
          <w:tcPr>
            <w:tcW w:type="dxa" w:w="5018"/>
            <w:vAlign w:val="center"/>
          </w:tcPr>
          <w:p>
            <w:pPr>
              <w:spacing w:after="0" w:line="240" w:lineRule="auto"/>
            </w:pPr>
            <w:r/>
            <w:r>
              <w:rPr>
                <w:rFonts w:ascii="Times New Roman" w:hAnsi="Times New Roman"/>
                <w:b w:val="0"/>
                <w:sz w:val="16"/>
              </w:rPr>
              <w:t>Macro precision</w:t>
            </w:r>
          </w:p>
        </w:tc>
        <w:tc>
          <w:tcPr>
            <w:tcW w:type="dxa" w:w="5018"/>
            <w:vAlign w:val="center"/>
          </w:tcPr>
          <w:p>
            <w:pPr>
              <w:spacing w:after="0" w:line="240" w:lineRule="auto"/>
            </w:pPr>
            <w:r/>
            <w:r>
              <w:rPr>
                <w:rFonts w:ascii="Times New Roman" w:hAnsi="Times New Roman"/>
                <w:b w:val="0"/>
                <w:sz w:val="16"/>
              </w:rPr>
              <w:t>0.6179</w:t>
            </w:r>
          </w:p>
        </w:tc>
      </w:tr>
      <w:tr>
        <w:tc>
          <w:tcPr>
            <w:tcW w:type="dxa" w:w="5018"/>
            <w:vAlign w:val="center"/>
          </w:tcPr>
          <w:p>
            <w:pPr>
              <w:spacing w:after="0" w:line="240" w:lineRule="auto"/>
            </w:pPr>
            <w:r/>
            <w:r>
              <w:rPr>
                <w:rFonts w:ascii="Times New Roman" w:hAnsi="Times New Roman"/>
                <w:b w:val="0"/>
                <w:sz w:val="16"/>
              </w:rPr>
              <w:t>Macro recall</w:t>
            </w:r>
          </w:p>
        </w:tc>
        <w:tc>
          <w:tcPr>
            <w:tcW w:type="dxa" w:w="5018"/>
            <w:vAlign w:val="center"/>
          </w:tcPr>
          <w:p>
            <w:pPr>
              <w:spacing w:after="0" w:line="240" w:lineRule="auto"/>
            </w:pPr>
            <w:r/>
            <w:r>
              <w:rPr>
                <w:rFonts w:ascii="Times New Roman" w:hAnsi="Times New Roman"/>
                <w:b w:val="0"/>
                <w:sz w:val="16"/>
              </w:rPr>
              <w:t>0.5973</w:t>
            </w:r>
          </w:p>
        </w:tc>
      </w:tr>
      <w:tr>
        <w:tc>
          <w:tcPr>
            <w:tcW w:type="dxa" w:w="5018"/>
            <w:vAlign w:val="center"/>
          </w:tcPr>
          <w:p>
            <w:pPr>
              <w:spacing w:after="0" w:line="240" w:lineRule="auto"/>
            </w:pPr>
            <w:r/>
            <w:r>
              <w:rPr>
                <w:rFonts w:ascii="Times New Roman" w:hAnsi="Times New Roman"/>
                <w:b w:val="0"/>
                <w:sz w:val="16"/>
              </w:rPr>
              <w:t>Macro F1-score</w:t>
            </w:r>
          </w:p>
        </w:tc>
        <w:tc>
          <w:tcPr>
            <w:tcW w:type="dxa" w:w="5018"/>
            <w:vAlign w:val="center"/>
          </w:tcPr>
          <w:p>
            <w:pPr>
              <w:spacing w:after="0" w:line="240" w:lineRule="auto"/>
            </w:pPr>
            <w:r/>
            <w:r>
              <w:rPr>
                <w:rFonts w:ascii="Times New Roman" w:hAnsi="Times New Roman"/>
                <w:b w:val="0"/>
                <w:sz w:val="16"/>
              </w:rPr>
              <w:t>0.6034</w:t>
            </w:r>
          </w:p>
        </w:tc>
      </w:tr>
      <w:tr>
        <w:tc>
          <w:tcPr>
            <w:tcW w:type="dxa" w:w="5018"/>
            <w:vAlign w:val="center"/>
          </w:tcPr>
          <w:p>
            <w:pPr>
              <w:spacing w:after="0" w:line="240" w:lineRule="auto"/>
            </w:pPr>
            <w:r/>
            <w:r>
              <w:rPr>
                <w:rFonts w:ascii="Times New Roman" w:hAnsi="Times New Roman"/>
                <w:b w:val="0"/>
                <w:sz w:val="16"/>
              </w:rPr>
              <w:t>Dataset size</w:t>
            </w:r>
          </w:p>
        </w:tc>
        <w:tc>
          <w:tcPr>
            <w:tcW w:type="dxa" w:w="5018"/>
            <w:vAlign w:val="center"/>
          </w:tcPr>
          <w:p>
            <w:pPr>
              <w:spacing w:after="0" w:line="240" w:lineRule="auto"/>
            </w:pPr>
            <w:r/>
            <w:r>
              <w:rPr>
                <w:rFonts w:ascii="Times New Roman" w:hAnsi="Times New Roman"/>
                <w:b w:val="0"/>
                <w:sz w:val="16"/>
              </w:rPr>
              <w:t>6,000 synthetic cases</w:t>
            </w:r>
          </w:p>
        </w:tc>
      </w:tr>
      <w:tr>
        <w:tc>
          <w:tcPr>
            <w:tcW w:type="dxa" w:w="5018"/>
            <w:vAlign w:val="center"/>
          </w:tcPr>
          <w:p>
            <w:pPr>
              <w:spacing w:after="0" w:line="240" w:lineRule="auto"/>
            </w:pPr>
            <w:r/>
            <w:r>
              <w:rPr>
                <w:rFonts w:ascii="Times New Roman" w:hAnsi="Times New Roman"/>
                <w:b w:val="0"/>
                <w:sz w:val="16"/>
              </w:rPr>
              <w:t>Mean inference latency</w:t>
            </w:r>
          </w:p>
        </w:tc>
        <w:tc>
          <w:tcPr>
            <w:tcW w:type="dxa" w:w="5018"/>
            <w:vAlign w:val="center"/>
          </w:tcPr>
          <w:p>
            <w:pPr>
              <w:spacing w:after="0" w:line="240" w:lineRule="auto"/>
            </w:pPr>
            <w:r/>
            <w:r>
              <w:rPr>
                <w:rFonts w:ascii="Times New Roman" w:hAnsi="Times New Roman"/>
                <w:b w:val="0"/>
                <w:sz w:val="16"/>
              </w:rPr>
              <w:t>~120 ms</w:t>
            </w:r>
          </w:p>
        </w:tc>
      </w:tr>
      <w:tr>
        <w:tc>
          <w:tcPr>
            <w:tcW w:type="dxa" w:w="5018"/>
            <w:vAlign w:val="center"/>
          </w:tcPr>
          <w:p>
            <w:pPr>
              <w:spacing w:after="0" w:line="240" w:lineRule="auto"/>
            </w:pPr>
            <w:r/>
            <w:r>
              <w:rPr>
                <w:rFonts w:ascii="Times New Roman" w:hAnsi="Times New Roman"/>
                <w:b w:val="0"/>
                <w:sz w:val="16"/>
              </w:rPr>
              <w:t>Integration suites</w:t>
            </w:r>
          </w:p>
        </w:tc>
        <w:tc>
          <w:tcPr>
            <w:tcW w:type="dxa" w:w="5018"/>
            <w:vAlign w:val="center"/>
          </w:tcPr>
          <w:p>
            <w:pPr>
              <w:spacing w:after="0" w:line="240" w:lineRule="auto"/>
            </w:pPr>
            <w:r/>
            <w:r>
              <w:rPr>
                <w:rFonts w:ascii="Times New Roman" w:hAnsi="Times New Roman"/>
                <w:b w:val="0"/>
                <w:sz w:val="16"/>
              </w:rPr>
              <w:t>5/5 passed (100%)</w:t>
            </w:r>
          </w:p>
        </w:tc>
      </w:tr>
    </w:tbl>
    <w:p>
      <w:pPr>
        <w:spacing w:before="0" w:after="60" w:line="240" w:lineRule="auto"/>
      </w:pPr>
      <w:r>
        <w:rPr>
          <w:rFonts w:ascii="Times New Roman" w:hAnsi="Times New Roman"/>
          <w:b w:val="0"/>
          <w:i w:val="0"/>
        </w:rPr>
        <w:t>Critical REST operations-login, consultation creation, matching proxy, and administrative reporting-completed under the two-second acceptance criterion. The integration suites included ownership rules, subresource access, features, document upload, and application-context validation with Docker and Testcontainers.</w:t>
      </w:r>
    </w:p>
    <w:p>
      <w:commentRangeStart w:id="2"/>
      <w:pPr>
        <w:pStyle w:val="CommentPlaceholder"/>
        <w:spacing w:before="0" w:after="60" w:line="240" w:lineRule="auto"/>
      </w:pPr>
      <w:r>
        <w:rPr>
          <w:rFonts w:ascii="Times New Roman" w:hAnsi="Times New Roman"/>
          <w:b w:val="0"/>
          <w:i w:val="0"/>
        </w:rPr>
        <w:t>[FIGURE PENDING 3: Confusion matrix or class-level metrics for rf-v1 after TP2 tuning / Matriz de confusión o métricas por clase de rf-v1 tras ajuste en TP2]</w:t>
      </w:r>
      <w:commentRangeEnd w:id="2"/>
      <w:r>
        <w:commentReference w:id="2"/>
      </w:r>
    </w:p>
    <w:p>
      <w:pPr>
        <w:keepNext/>
        <w:spacing w:before="80" w:after="60" w:line="240" w:lineRule="auto"/>
        <w:jc w:val="left"/>
      </w:pPr>
      <w:r>
        <w:rPr>
          <w:rFonts w:ascii="Times New Roman" w:hAnsi="Times New Roman"/>
          <w:b/>
          <w:i w:val="0"/>
          <w:sz w:val="20"/>
        </w:rPr>
        <w:t>C. Qualitative Results</w:t>
      </w:r>
    </w:p>
    <w:p>
      <w:pPr>
        <w:spacing w:before="0" w:after="60" w:line="240" w:lineRule="auto"/>
      </w:pPr>
      <w:r>
        <w:rPr>
          <w:rFonts w:ascii="Times New Roman" w:hAnsi="Times New Roman"/>
          <w:b w:val="0"/>
          <w:i w:val="0"/>
        </w:rPr>
        <w:t>End-to-end demonstrations confirmed role-based navigation, consultation registration, explainable recommendations, persistence of model outputs, document upload/download, timeline visibility, and explicit warnings about AI-assisted support. These observations support the feasibility of a simulated academic pilot at Clínica SANNA “El Golf”.</w:t>
      </w:r>
    </w:p>
    <w:p>
      <w:pPr>
        <w:keepNext/>
        <w:spacing w:before="80" w:after="60" w:line="240" w:lineRule="auto"/>
        <w:jc w:val="left"/>
      </w:pPr>
      <w:r>
        <w:rPr>
          <w:rFonts w:ascii="Times New Roman" w:hAnsi="Times New Roman"/>
          <w:b/>
          <w:i w:val="0"/>
          <w:sz w:val="20"/>
        </w:rPr>
        <w:t>D. Discussion</w:t>
      </w:r>
    </w:p>
    <w:p>
      <w:pPr>
        <w:spacing w:before="0" w:after="60" w:line="240" w:lineRule="auto"/>
      </w:pPr>
      <w:r>
        <w:rPr>
          <w:rFonts w:ascii="Times New Roman" w:hAnsi="Times New Roman"/>
          <w:b w:val="0"/>
          <w:i w:val="0"/>
        </w:rPr>
        <w:t>The macro F1-score of 0.6034 is moderate and below the 70% relevance/performance target established for later validation. This is coherent with a first model iteration, synthetic data, and limited hyperparameter tuning. Consequently, Sinapsistencia should be defended as a technically feasible decision-support workflow, not as a clinically or legally validated predictor. The stronger result is architectural: the platform integrates frontend, backend, database, ML service, traceability, and fallback mechanisms with adequate latency and successful integration tests.</w:t>
      </w:r>
    </w:p>
    <w:p>
      <w:pPr>
        <w:keepNext/>
        <w:spacing w:before="80" w:after="60" w:line="240" w:lineRule="auto"/>
        <w:jc w:val="center"/>
      </w:pPr>
      <w:r>
        <w:rPr>
          <w:rFonts w:ascii="Times New Roman" w:hAnsi="Times New Roman"/>
          <w:b/>
          <w:i w:val="0"/>
          <w:smallCaps/>
          <w:sz w:val="20"/>
        </w:rPr>
        <w:t>VI. CONCLUSIONS AND PERSPECTIVES</w:t>
      </w:r>
    </w:p>
    <w:p>
      <w:pPr>
        <w:spacing w:before="0" w:after="60" w:line="240" w:lineRule="auto"/>
      </w:pPr>
      <w:r>
        <w:rPr>
          <w:rFonts w:ascii="Times New Roman" w:hAnsi="Times New Roman"/>
          <w:b w:val="0"/>
          <w:i w:val="0"/>
        </w:rPr>
        <w:t>This paper presented Sinapsistencia, a medical-legal mediation platform that integrates structured workflows, auditability, and explainable machine learning for the Peruvian healthcare sector. The system couples random forests for risk scoring and TF-IDF/cosine-similarity retrieval for lawyer recommendation, addressing cold-start constraints while preserving human control.</w:t>
      </w:r>
    </w:p>
    <w:p>
      <w:pPr>
        <w:spacing w:before="0" w:after="60" w:line="240" w:lineRule="auto"/>
      </w:pPr>
      <w:r>
        <w:rPr>
          <w:rFonts w:ascii="Times New Roman" w:hAnsi="Times New Roman"/>
          <w:b w:val="0"/>
          <w:i w:val="0"/>
        </w:rPr>
        <w:t>Results demonstrate moderate classification performance and successful software integration. Future work will prioritize TP2 validation: tuning and class-level reporting, SHAP/LIME explanations, completion of the 90-case functional test catalog, cloud deployment, top-3 matching relevance evaluation, SUS-based usability testing, and As-Is/To-Be comparison of access time to medical-legal advisory.</w:t>
      </w:r>
    </w:p>
    <w:p>
      <w:pPr>
        <w:keepNext/>
        <w:spacing w:before="80" w:after="60" w:line="240" w:lineRule="auto"/>
        <w:jc w:val="center"/>
      </w:pPr>
      <w:r>
        <w:rPr>
          <w:rFonts w:ascii="Times New Roman" w:hAnsi="Times New Roman"/>
          <w:b/>
          <w:i w:val="0"/>
          <w:smallCaps/>
          <w:sz w:val="20"/>
        </w:rPr>
        <w:t>ACKNOWLEDGMENTS</w:t>
      </w:r>
    </w:p>
    <w:p>
      <w:pPr>
        <w:spacing w:before="0" w:after="60" w:line="240" w:lineRule="auto"/>
      </w:pPr>
      <w:r>
        <w:rPr>
          <w:rFonts w:ascii="Times New Roman" w:hAnsi="Times New Roman"/>
          <w:b w:val="0"/>
          <w:i w:val="0"/>
        </w:rPr>
        <w:t>The authors thank the School of Systems and Computer Engineering at Universidad Peruana de Ciencias Aplicadas, the advisors Jymmy Stuwart Dextre Alarcón and Jorge Enrique Polo Martínez, and Clínica SANNA “El Golf” for institutional collaboration in the simulated pilot context.</w:t>
      </w:r>
    </w:p>
    <w:p>
      <w:pPr>
        <w:keepNext/>
        <w:spacing w:before="80" w:after="60" w:line="240" w:lineRule="auto"/>
        <w:jc w:val="center"/>
      </w:pPr>
      <w:r>
        <w:rPr>
          <w:rFonts w:ascii="Times New Roman" w:hAnsi="Times New Roman"/>
          <w:b/>
          <w:i w:val="0"/>
          <w:smallCaps/>
          <w:sz w:val="20"/>
        </w:rPr>
        <w:t>REFERENCES</w:t>
      </w:r>
    </w:p>
    <w:p>
      <w:pPr>
        <w:spacing w:before="0" w:after="20" w:line="240" w:lineRule="auto"/>
      </w:pPr>
      <w:r>
        <w:rPr>
          <w:rFonts w:ascii="Times New Roman" w:hAnsi="Times New Roman"/>
          <w:b w:val="0"/>
          <w:i w:val="0"/>
          <w:sz w:val="16"/>
        </w:rPr>
        <w:t>[1] Superintendencia Nacional de Salud (SUSALUD), “SUSALUD brindó más de 163 mil atenciones sobre derechos en salud durante el 2024,” Gobierno del Perú, Lima, Perú, Jan. 2025. [Online]. Available: https://www.gob.pe/institucion/susalud/noticias/1086686-susalud-brindo-mas-de-163-mil-atenciones-sobre-derechos-en-salud-durante-el-2024</w:t>
      </w:r>
    </w:p>
    <w:p>
      <w:pPr>
        <w:spacing w:before="0" w:after="20" w:line="240" w:lineRule="auto"/>
      </w:pPr>
      <w:r>
        <w:rPr>
          <w:rFonts w:ascii="Times New Roman" w:hAnsi="Times New Roman"/>
          <w:b w:val="0"/>
          <w:i w:val="0"/>
          <w:sz w:val="16"/>
        </w:rPr>
        <w:t>[2] Defensoría del Pueblo del Perú, “Informe Defensorial N.º 243: Supervisión a los Institutos Especializados de Salud de Lima y Regiones,” Lima, Perú, 2025. [Online]. Available: https://www.defensoria.gob.pe/informes/informe-defensorial-n-243/</w:t>
      </w:r>
    </w:p>
    <w:p>
      <w:pPr>
        <w:spacing w:before="0" w:after="20" w:line="240" w:lineRule="auto"/>
      </w:pPr>
      <w:r>
        <w:rPr>
          <w:rFonts w:ascii="Times New Roman" w:hAnsi="Times New Roman"/>
          <w:b w:val="0"/>
          <w:i w:val="0"/>
          <w:sz w:val="16"/>
        </w:rPr>
        <w:t>[3] F. Prieto, A. Lamas, and J. Rodríguez, “Malpractice claims in paediatric surgery: A systematic review of contributing factors,” Journal of Pediatric Surgery, vol. 57, no. 4, pp. 701–708, 2022.</w:t>
      </w:r>
    </w:p>
    <w:p>
      <w:pPr>
        <w:spacing w:before="0" w:after="20" w:line="240" w:lineRule="auto"/>
      </w:pPr>
      <w:r>
        <w:rPr>
          <w:rFonts w:ascii="Times New Roman" w:hAnsi="Times New Roman"/>
          <w:b w:val="0"/>
          <w:i w:val="0"/>
          <w:sz w:val="16"/>
        </w:rPr>
        <w:t>[4] O. Gunenc et al., “Medical malpractice stress syndrome and defensive medicine in obstetricians and gynecologists in Turkey,” International Journal of Clinical Practice, vol. 2024, Art. no. 8226403, 2024.</w:t>
      </w:r>
    </w:p>
    <w:p>
      <w:pPr>
        <w:spacing w:before="0" w:after="20" w:line="240" w:lineRule="auto"/>
      </w:pPr>
      <w:r>
        <w:rPr>
          <w:rFonts w:ascii="Times New Roman" w:hAnsi="Times New Roman"/>
          <w:b w:val="0"/>
          <w:i w:val="0"/>
          <w:sz w:val="16"/>
        </w:rPr>
        <w:t>[5] I. D. Miziara and C. S. M. G. Miziara, “Medical errors, medical negligence and defensive medicine: A narrative review,” Clinics, vol. 77, Art. no. 100053, 2022.</w:t>
      </w:r>
    </w:p>
    <w:p>
      <w:pPr>
        <w:spacing w:before="0" w:after="20" w:line="240" w:lineRule="auto"/>
      </w:pPr>
      <w:r>
        <w:rPr>
          <w:rFonts w:ascii="Times New Roman" w:hAnsi="Times New Roman"/>
          <w:b w:val="0"/>
          <w:i w:val="0"/>
          <w:sz w:val="16"/>
        </w:rPr>
        <w:t>[6] M.-E. Tumelty, “Plaintiff aims in medical negligence disputes: Limitations of an adversarial system,” Medical Law Review, vol. 31, no. 2, pp. 226–246, 2023.</w:t>
      </w:r>
    </w:p>
    <w:p>
      <w:pPr>
        <w:spacing w:before="0" w:after="20" w:line="240" w:lineRule="auto"/>
      </w:pPr>
      <w:r>
        <w:rPr>
          <w:rFonts w:ascii="Times New Roman" w:hAnsi="Times New Roman"/>
          <w:b w:val="0"/>
          <w:i w:val="0"/>
          <w:sz w:val="16"/>
        </w:rPr>
        <w:t>[7] S. P. Rowland, J. E. Fitzgerald, M. Lungren, E. Lee, Z. Harned, and A. H. McGregor, “Digital health technology-specific risks for medical malpractice liability,” npj Digital Medicine, vol. 5, Art. no. 157, 2022.</w:t>
      </w:r>
    </w:p>
    <w:p>
      <w:pPr>
        <w:spacing w:before="0" w:after="20" w:line="240" w:lineRule="auto"/>
      </w:pPr>
      <w:r>
        <w:rPr>
          <w:rFonts w:ascii="Times New Roman" w:hAnsi="Times New Roman"/>
          <w:b w:val="0"/>
          <w:i w:val="0"/>
          <w:sz w:val="16"/>
        </w:rPr>
        <w:t>[8] B. H. Wong, P. D. Parikh, K. C. Miller, and M. R. Zonfrillo, “Emergency department and urgent care medical malpractice claims 2001–15,” Western Journal of Emergency Medicine, vol. 22, no. 2, pp. 333–338, 2021.</w:t>
      </w:r>
    </w:p>
    <w:p>
      <w:pPr>
        <w:spacing w:before="0" w:after="20" w:line="240" w:lineRule="auto"/>
      </w:pPr>
      <w:r>
        <w:rPr>
          <w:rFonts w:ascii="Times New Roman" w:hAnsi="Times New Roman"/>
          <w:b w:val="0"/>
          <w:i w:val="0"/>
          <w:sz w:val="16"/>
        </w:rPr>
        <w:t>[9] Congreso de la República del Perú, “Ley N.º 29733, Ley de Protección de Datos Personales,” El Peruano, Lima, Perú, 2011.</w:t>
      </w:r>
    </w:p>
    <w:p>
      <w:pPr>
        <w:spacing w:before="0" w:after="20" w:line="240" w:lineRule="auto"/>
      </w:pPr>
      <w:r>
        <w:rPr>
          <w:rFonts w:ascii="Times New Roman" w:hAnsi="Times New Roman"/>
          <w:b w:val="0"/>
          <w:i w:val="0"/>
          <w:sz w:val="16"/>
        </w:rPr>
        <w:t>[10] C. Jones, J. Thornton, and J. C. Wyatt, “Artificial intelligence and clinical decision support: Clinicians’ perspectives on trust, trustworthiness, and liability,” Medical Law Review, vol. 31, no. 4, pp. 501–520, 2023.</w:t>
      </w:r>
    </w:p>
    <w:p>
      <w:pPr>
        <w:spacing w:before="0" w:after="20" w:line="240" w:lineRule="auto"/>
      </w:pPr>
      <w:r>
        <w:rPr>
          <w:rFonts w:ascii="Times New Roman" w:hAnsi="Times New Roman"/>
          <w:b w:val="0"/>
          <w:i w:val="0"/>
          <w:sz w:val="16"/>
        </w:rPr>
        <w:t>[11] I. A. Scott, A. van der Vegt, P. Lane, S. McPhail, and F. Magrabi, “Achieving large-scale clinician adoption of AI-enabled decision support,” BMJ Health Care Informatics, vol. 31, Art. no. e100971, 2024.</w:t>
      </w:r>
    </w:p>
    <w:p>
      <w:pPr>
        <w:spacing w:before="0" w:after="20" w:line="240" w:lineRule="auto"/>
      </w:pPr>
      <w:r>
        <w:rPr>
          <w:rFonts w:ascii="Times New Roman" w:hAnsi="Times New Roman"/>
          <w:b w:val="0"/>
          <w:i w:val="0"/>
          <w:sz w:val="16"/>
        </w:rPr>
        <w:t>[12] Eve Legal, “Legal AI software for plaintiff law firms,” 2026. [Online]. Available: https://www.eve.legal/</w:t>
      </w:r>
    </w:p>
    <w:p>
      <w:pPr>
        <w:spacing w:before="0" w:after="20" w:line="240" w:lineRule="auto"/>
      </w:pPr>
      <w:r>
        <w:rPr>
          <w:rFonts w:ascii="Times New Roman" w:hAnsi="Times New Roman"/>
          <w:b w:val="0"/>
          <w:i w:val="0"/>
          <w:sz w:val="16"/>
        </w:rPr>
        <w:t>[13] DigitalOwl, “AI medical record reviews for insurance and legal,” 2026. [Online]. Available: https://www.digitalowl.com/</w:t>
      </w:r>
    </w:p>
    <w:p>
      <w:pPr>
        <w:spacing w:before="0" w:after="20" w:line="240" w:lineRule="auto"/>
      </w:pPr>
      <w:r>
        <w:rPr>
          <w:rFonts w:ascii="Times New Roman" w:hAnsi="Times New Roman"/>
          <w:b w:val="0"/>
          <w:i w:val="0"/>
          <w:sz w:val="16"/>
        </w:rPr>
        <w:t>[14] CloudLex, “Medical malpractice software: Manage PI cases efficiently,” 2026. [Online]. Available: https://www.cloudlex.com/practice-areas/medical-malpractice-law-software/</w:t>
      </w:r>
    </w:p>
    <w:p>
      <w:pPr>
        <w:spacing w:before="0" w:after="20" w:line="240" w:lineRule="auto"/>
      </w:pPr>
      <w:r>
        <w:rPr>
          <w:rFonts w:ascii="Times New Roman" w:hAnsi="Times New Roman"/>
          <w:b w:val="0"/>
          <w:i w:val="0"/>
          <w:sz w:val="16"/>
        </w:rPr>
        <w:t>[15] Legalify, “Plataforma legal digital,” 2026. [Online]. Available: https://legalify.app/</w:t>
      </w:r>
    </w:p>
    <w:p>
      <w:pPr>
        <w:spacing w:before="0" w:after="20" w:line="240" w:lineRule="auto"/>
      </w:pPr>
      <w:r>
        <w:rPr>
          <w:rFonts w:ascii="Times New Roman" w:hAnsi="Times New Roman"/>
          <w:b w:val="0"/>
          <w:i w:val="0"/>
          <w:sz w:val="16"/>
        </w:rPr>
        <w:t>[16] Medical Legal Center, “Líderes en protección médico legal en México,” 2022. [Online]. Available: https://medicallegalcenter.com/</w:t>
      </w:r>
    </w:p>
    <w:p>
      <w:pPr>
        <w:spacing w:before="0" w:after="20" w:line="240" w:lineRule="auto"/>
      </w:pPr>
      <w:r>
        <w:rPr>
          <w:rFonts w:ascii="Times New Roman" w:hAnsi="Times New Roman"/>
          <w:b w:val="0"/>
          <w:i w:val="0"/>
          <w:sz w:val="16"/>
        </w:rPr>
        <w:t>[17] Sociedad Argentina de Gastroenterología, “Asesoramiento médico legal,” 2026. [Online]. Available: https://sage.org.ar/asesoramiento-medico-legal/</w:t>
      </w:r>
    </w:p>
    <w:p>
      <w:pPr>
        <w:spacing w:before="0" w:after="20" w:line="240" w:lineRule="auto"/>
      </w:pPr>
      <w:r>
        <w:rPr>
          <w:rFonts w:ascii="Times New Roman" w:hAnsi="Times New Roman"/>
          <w:b w:val="0"/>
          <w:i w:val="0"/>
          <w:sz w:val="16"/>
        </w:rPr>
        <w:t>[18] D. Ugarte Mostajo, “El deber de información médica y la responsabilidad civil en el Perú,” Revista Derecho y Ciencia Política, vol. 78, no. 1, pp. 45–62, 2024.</w:t>
      </w:r>
    </w:p>
    <w:p>
      <w:pPr>
        <w:spacing w:before="0" w:after="20" w:line="240" w:lineRule="auto"/>
      </w:pPr>
      <w:r>
        <w:rPr>
          <w:rFonts w:ascii="Times New Roman" w:hAnsi="Times New Roman"/>
          <w:b w:val="0"/>
          <w:i w:val="0"/>
          <w:sz w:val="16"/>
        </w:rPr>
        <w:t>[19] L. Wang et al., “Human-centered design and evaluation of AI-empowered clinical decision support systems: A systematic review,” Frontiers in Computer Science, vol. 5, Art. no. 1187299, 2023.</w:t>
      </w:r>
    </w:p>
    <w:p>
      <w:pPr>
        <w:spacing w:before="0" w:after="20" w:line="240" w:lineRule="auto"/>
      </w:pPr>
      <w:r>
        <w:rPr>
          <w:rFonts w:ascii="Times New Roman" w:hAnsi="Times New Roman"/>
          <w:b w:val="0"/>
          <w:i w:val="0"/>
          <w:sz w:val="16"/>
        </w:rPr>
        <w:t>[20] C. D. Manning, P. Raghavan, and H. Schütze, Introduction to Information Retrieval. Cambridge, U.K.: Cambridge University Press, 2008.</w:t>
      </w:r>
    </w:p>
    <w:p>
      <w:pPr>
        <w:spacing w:before="0" w:after="20" w:line="240" w:lineRule="auto"/>
      </w:pPr>
      <w:r>
        <w:rPr>
          <w:rFonts w:ascii="Times New Roman" w:hAnsi="Times New Roman"/>
          <w:b w:val="0"/>
          <w:i w:val="0"/>
          <w:sz w:val="16"/>
        </w:rPr>
        <w:t>[21] F. Ricci, L. Rokach, and B. Shapira, Eds., Recommender Systems Handbook, 2nd ed. New York, NY, USA: Springer, 2015.</w:t>
      </w:r>
    </w:p>
    <w:p>
      <w:pPr>
        <w:spacing w:before="0" w:after="20" w:line="240" w:lineRule="auto"/>
      </w:pPr>
      <w:r>
        <w:rPr>
          <w:rFonts w:ascii="Times New Roman" w:hAnsi="Times New Roman"/>
          <w:b w:val="0"/>
          <w:i w:val="0"/>
          <w:sz w:val="16"/>
        </w:rPr>
        <w:t>[22] C. C. Aggarwal, Recommender Systems: The Textbook. New York, NY, USA: Springer, 2016.</w:t>
      </w:r>
    </w:p>
    <w:p>
      <w:pPr>
        <w:spacing w:before="0" w:after="20" w:line="240" w:lineRule="auto"/>
      </w:pPr>
      <w:r>
        <w:rPr>
          <w:rFonts w:ascii="Times New Roman" w:hAnsi="Times New Roman"/>
          <w:b w:val="0"/>
          <w:i w:val="0"/>
          <w:sz w:val="16"/>
        </w:rPr>
        <w:t>[23] L. Breiman, “Random forests,” Machine Learning, vol. 45, no. 1, pp. 5–32, 2001.</w:t>
      </w:r>
    </w:p>
    <w:p>
      <w:pPr>
        <w:spacing w:before="0" w:after="20" w:line="240" w:lineRule="auto"/>
      </w:pPr>
      <w:r>
        <w:rPr>
          <w:rFonts w:ascii="Times New Roman" w:hAnsi="Times New Roman"/>
          <w:b w:val="0"/>
          <w:i w:val="0"/>
          <w:sz w:val="16"/>
        </w:rPr>
        <w:t>[24] S. C. Wongvibulsin, K. C. Wu, and S. L. Zeger, “Clinical risk prediction with Random Forests,” BMC Medical Research Methodology, vol. 20, no. 1, Art. no. 1, 2020.</w:t>
      </w:r>
    </w:p>
    <w:p>
      <w:pPr>
        <w:spacing w:before="0" w:after="20" w:line="240" w:lineRule="auto"/>
      </w:pPr>
      <w:r>
        <w:rPr>
          <w:rFonts w:ascii="Times New Roman" w:hAnsi="Times New Roman"/>
          <w:b w:val="0"/>
          <w:i w:val="0"/>
          <w:sz w:val="16"/>
        </w:rPr>
        <w:t>[25] J. E. Wallace, D. A. Blaas, and R. A. Wyatt, “Misuse and abuse of variable importance in Random Forest,” PLOS ONE, vol. 18, no. 3, Art. no. e0283994, 2023.</w:t>
      </w:r>
    </w:p>
    <w:p>
      <w:pPr>
        <w:spacing w:before="0" w:after="20" w:line="240" w:lineRule="auto"/>
      </w:pPr>
      <w:r>
        <w:rPr>
          <w:rFonts w:ascii="Times New Roman" w:hAnsi="Times New Roman"/>
          <w:b w:val="0"/>
          <w:i w:val="0"/>
          <w:sz w:val="16"/>
        </w:rPr>
        <w:t>[26] S. M. Lundberg and S.-I. Lee, “A unified approach to interpreting model predictions,” in Proc. NIPS, vol. 30, 2017, pp. 4765–4774.</w:t>
      </w:r>
    </w:p>
    <w:p>
      <w:pPr>
        <w:spacing w:before="0" w:after="20" w:line="240" w:lineRule="auto"/>
      </w:pPr>
      <w:r>
        <w:rPr>
          <w:rFonts w:ascii="Times New Roman" w:hAnsi="Times New Roman"/>
          <w:b w:val="0"/>
          <w:i w:val="0"/>
          <w:sz w:val="16"/>
        </w:rPr>
        <w:t>[27] M. T. Ribeiro, S. Singh, and C. Guestrin, “‘Why should I trust you?’: Explaining the predictions of any classifier,” in Proc. 22nd ACM SIGKDD, 2016, pp. 1135–1144.</w:t>
      </w:r>
    </w:p>
    <w:p>
      <w:pPr>
        <w:spacing w:before="0" w:after="20" w:line="240" w:lineRule="auto"/>
      </w:pPr>
      <w:r>
        <w:rPr>
          <w:rFonts w:ascii="Times New Roman" w:hAnsi="Times New Roman"/>
          <w:b w:val="0"/>
          <w:i w:val="0"/>
          <w:sz w:val="16"/>
        </w:rPr>
        <w:t>[28] T. Mikolov, I. Sutskever, K. Chen, G. Corrado, and J. Dean, “Distributed representations of words and phrases and their compositionality,” in Proc. NIPS, vol. 26, 2013, pp. 3111–3119.</w:t>
      </w:r>
    </w:p>
    <w:p>
      <w:pPr>
        <w:spacing w:before="0" w:after="20" w:line="240" w:lineRule="auto"/>
      </w:pPr>
      <w:r>
        <w:rPr>
          <w:rFonts w:ascii="Times New Roman" w:hAnsi="Times New Roman"/>
          <w:b w:val="0"/>
          <w:i w:val="0"/>
          <w:sz w:val="16"/>
        </w:rPr>
        <w:t>[29] J. Brooke, “SUS: A ‘quick and dirty’ usability scale,” in Usability Evaluation in Industry, P. W. Jordan et al., Eds. London, U.K.: Taylor &amp; Francis, 1996, pp. 189–194.</w:t>
      </w:r>
    </w:p>
    <w:sectPr w:rsidR="00FC693F" w:rsidRPr="0006063C" w:rsidSect="00034616">
      <w:type w:val="continuous"/>
      <w:pgSz w:w="11906" w:h="16838"/>
      <w:pgMar w:top="1020" w:right="935" w:bottom="1020" w:left="935" w:header="720" w:footer="720" w:gutter="0"/>
      <w:cols w:space="720" w:num="2"/>
      <w:docGrid w:linePitch="360"/>
    </w:sectPr>
  </w:body>
</w:document>
</file>

<file path=word/comments.xml><?xml version="1.0" encoding="utf-8"?>
<w:comments xmlns:w="http://schemas.openxmlformats.org/wordprocessingml/2006/main">
  <w:comment w:id="0" w:author="Asesor de Tesis" w:date="2026-06-26T17:09:06Z">
    <w:p>
      <w:r>
        <w:t>Insert the final layered architecture diagram here. Use only your own diagram or a properly cited adaptation. It should show Angular, Spring Boot, FastAPI ML service, PostgreSQL, document storage, roles, and audit log.</w:t>
      </w:r>
    </w:p>
  </w:comment>
  <w:comment w:id="1" w:author="Asesor de Tesis" w:date="2026-06-26T17:09:06Z">
    <w:p>
      <w:r>
        <w:t>Insert a simple workflow diagram for risk assessment and lawyer recommendation: consultation intake, feature extraction, Random Forest risk scoring, TF-IDF/cosine matching, persistence, and explainable output.</w:t>
      </w:r>
    </w:p>
  </w:comment>
  <w:comment w:id="2" w:author="Asesor de Tesis" w:date="2026-06-26T17:09:06Z">
    <w:p>
      <w:r>
        <w:t>Insert the confusion matrix or per-class metrics after TP2 tuning. If not available before submission, keep Table II and state the limitation explicitly.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entPlaceholder">
    <w:name w:val="Comment Placeholder"/>
    <w:rPr>
      <w:rFonts w:ascii="Times New Roman" w:hAnsi="Times New Roman"/>
      <w:i/>
      <w:color w:val="C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