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val="0"/>
          <w:i w:val="0"/>
          <w:sz w:val="18"/>
        </w:rPr>
        <w:t>Proc. of the International Conference on Electrical, Computer, Communications and Mechatronics Engineering (ICECCME 2026)</w:t>
      </w:r>
    </w:p>
    <w:p>
      <w:pPr>
        <w:spacing w:before="0" w:after="120" w:line="240" w:lineRule="auto"/>
        <w:jc w:val="center"/>
      </w:pPr>
      <w:r>
        <w:rPr>
          <w:rFonts w:ascii="Times New Roman" w:hAnsi="Times New Roman"/>
          <w:b w:val="0"/>
          <w:i w:val="0"/>
          <w:sz w:val="18"/>
        </w:rPr>
        <w:t>15-17 October 2026, Bali, Indonesia</w:t>
      </w:r>
    </w:p>
    <w:p>
      <w:pPr>
        <w:spacing w:before="0" w:after="160" w:line="240" w:lineRule="auto"/>
        <w:jc w:val="center"/>
      </w:pPr>
      <w:r>
        <w:rPr>
          <w:rFonts w:ascii="Times New Roman" w:hAnsi="Times New Roman"/>
          <w:b/>
          <w:i w:val="0"/>
          <w:sz w:val="32"/>
        </w:rPr>
        <w:t>Sinapsistencia: Mediación Médico-Legal con Aprendizaje Automático Explicable para el Sector Salud del Perú</w:t>
      </w:r>
    </w:p>
    <w:tbl>
      <w:tblPr>
        <w:tblW w:type="auto" w:w="0"/>
        <w:jc w:val="center"/>
        <w:tblLayout w:type="autofit"/>
        <w:tblLook w:firstColumn="1" w:firstRow="1" w:lastColumn="0" w:lastRow="0" w:noHBand="0" w:noVBand="1" w:val="04A0"/>
      </w:tblPr>
      <w:tblGrid>
        <w:gridCol w:w="5018"/>
        <w:gridCol w:w="5018"/>
      </w:tblGrid>
      <w:tr>
        <w:tc>
          <w:tcPr>
            <w:tcW w:type="dxa" w:w="5018"/>
          </w:tcPr>
          <w:p>
            <w:pPr>
              <w:jc w:val="center"/>
            </w:pPr>
            <w:r/>
            <w:r>
              <w:rPr>
                <w:rFonts w:ascii="Times New Roman" w:hAnsi="Times New Roman"/>
                <w:b/>
                <w:sz w:val="20"/>
              </w:rPr>
              <w:t>Augusto Mathias Leonardo Vásquez Requejo</w:t>
              <w:br/>
            </w:r>
            <w:r>
              <w:rPr>
                <w:rFonts w:ascii="Times New Roman" w:hAnsi="Times New Roman"/>
                <w:sz w:val="18"/>
              </w:rPr>
              <w:t>Escuela de Ingeniería de Sistemas y Computación</w:t>
              <w:br/>
            </w:r>
            <w:r>
              <w:rPr>
                <w:rFonts w:ascii="Times New Roman" w:hAnsi="Times New Roman"/>
                <w:sz w:val="18"/>
              </w:rPr>
              <w:t>Universidad Peruana de Ciencias Aplicadas (UPC)</w:t>
              <w:br/>
            </w:r>
            <w:r>
              <w:rPr>
                <w:rFonts w:ascii="Times New Roman" w:hAnsi="Times New Roman"/>
                <w:sz w:val="18"/>
              </w:rPr>
              <w:t>Lima, Perú</w:t>
              <w:br/>
            </w:r>
            <w:r>
              <w:rPr>
                <w:rFonts w:ascii="Times New Roman" w:hAnsi="Times New Roman"/>
                <w:sz w:val="18"/>
              </w:rPr>
              <w:t>u20221a955@upc.edu.pe</w:t>
            </w:r>
          </w:p>
        </w:tc>
        <w:tc>
          <w:tcPr>
            <w:tcW w:type="dxa" w:w="5018"/>
          </w:tcPr>
          <w:p>
            <w:pPr>
              <w:jc w:val="center"/>
            </w:pPr>
            <w:r/>
            <w:r>
              <w:rPr>
                <w:rFonts w:ascii="Times New Roman" w:hAnsi="Times New Roman"/>
                <w:b/>
                <w:sz w:val="20"/>
              </w:rPr>
              <w:t>Renato Germán Reyes Valenzuela</w:t>
              <w:br/>
            </w:r>
            <w:r>
              <w:rPr>
                <w:rFonts w:ascii="Times New Roman" w:hAnsi="Times New Roman"/>
                <w:sz w:val="18"/>
              </w:rPr>
              <w:t>Escuela de Ingeniería de Sistemas y Computación</w:t>
              <w:br/>
            </w:r>
            <w:r>
              <w:rPr>
                <w:rFonts w:ascii="Times New Roman" w:hAnsi="Times New Roman"/>
                <w:sz w:val="18"/>
              </w:rPr>
              <w:t>Universidad Peruana de Ciencias Aplicadas (UPC)</w:t>
              <w:br/>
            </w:r>
            <w:r>
              <w:rPr>
                <w:rFonts w:ascii="Times New Roman" w:hAnsi="Times New Roman"/>
                <w:sz w:val="18"/>
              </w:rPr>
              <w:t>Lima, Perú</w:t>
              <w:br/>
            </w:r>
            <w:r>
              <w:rPr>
                <w:rFonts w:ascii="Times New Roman" w:hAnsi="Times New Roman"/>
                <w:sz w:val="18"/>
              </w:rPr>
              <w:t>u20221b471@upc.edu.pe</w:t>
            </w:r>
          </w:p>
        </w:tc>
      </w:tr>
    </w:tbl>
    <w:p>
      <w:pPr>
        <w:spacing w:before="0" w:after="80" w:line="240" w:lineRule="auto"/>
      </w:pPr>
    </w:p>
    <w:p>
      <w:pPr>
        <w:spacing w:before="0" w:after="60" w:line="240" w:lineRule="auto"/>
      </w:pPr>
      <w:r>
        <w:rPr>
          <w:rFonts w:ascii="Times New Roman" w:hAnsi="Times New Roman"/>
          <w:b w:val="0"/>
          <w:i w:val="0"/>
          <w:sz w:val="18"/>
        </w:rPr>
        <w:t>Resumen- Los profesionales de la salud en el Perú enfrentan una exposición creciente a reclamos por presunta mala praxis y, con frecuencia, carecen de acceso estructurado y oportuno a asesoría legal especializada, por lo que recurren a canales informales con demoras de 48 a 72 horas y trazabilidad auditable limitada. El objetivo de este trabajo es diseñar y validar una plataforma web que conecte de forma trazable y explicable a médicos con abogados especializados en derecho médico. Como aporte se propone Sinapsistencia, un sistema basado en microservicios que integra estimación de riesgo legal mediante bosques aleatorios, recomendación de abogados basada en TF-IDF y similitud del coseno, y auditabilidad del caso en un único flujo. El prototipo fue evaluado fuera de línea sobre 6 000 casos sintéticos generados con reglas de negocio y ruido controlado, y mediante cinco suites automatizadas de pruebas de integración. El modelo de riesgo alcanzó precisión macro de 0.6179, exhaustividad macro de 0.5973 y F1 macro de 0.6034, con latencia media local cercana a 120 ms; las pruebas de integración alcanzaron 100 % de éxito. Se concluye que un enfoque híbrido y explicable es técnicamente viable para apoyar, sin sustituir, la toma de decisiones médico-legales en un dominio altamente sensible a la responsabilidad profesional.</w:t>
      </w:r>
    </w:p>
    <w:p>
      <w:pPr>
        <w:spacing w:before="0" w:after="120" w:line="240" w:lineRule="auto"/>
      </w:pPr>
      <w:r>
        <w:rPr>
          <w:rFonts w:ascii="Times New Roman" w:hAnsi="Times New Roman"/>
          <w:b w:val="0"/>
          <w:i w:val="0"/>
          <w:sz w:val="18"/>
        </w:rPr>
        <w:t>Palabras clave- asesoramiento médico-legal; aprendizaje automático explicable; bosques aleatorios; recuperación de información; informática en salud; sector salud peruano.</w:t>
      </w:r>
    </w:p>
    <w:p>
      <w:pPr>
        <w:sectPr>
          <w:pgSz w:w="11906" w:h="16838"/>
          <w:pgMar w:top="1020" w:right="935" w:bottom="1020" w:left="935" w:header="720" w:footer="720" w:gutter="0"/>
          <w:cols w:space="720" w:num="1"/>
          <w:docGrid w:linePitch="360"/>
        </w:sectPr>
      </w:pPr>
    </w:p>
    <w:p>
      <w:pPr>
        <w:keepNext/>
        <w:spacing w:before="80" w:after="60" w:line="240" w:lineRule="auto"/>
        <w:jc w:val="center"/>
      </w:pPr>
      <w:r>
        <w:rPr>
          <w:rFonts w:ascii="Times New Roman" w:hAnsi="Times New Roman"/>
          <w:b/>
          <w:i w:val="0"/>
          <w:smallCaps/>
          <w:sz w:val="20"/>
        </w:rPr>
        <w:t>I. INTRODUCCIÓN</w:t>
      </w:r>
    </w:p>
    <w:p>
      <w:pPr>
        <w:spacing w:before="0" w:after="60" w:line="240" w:lineRule="auto"/>
      </w:pPr>
      <w:r>
        <w:rPr>
          <w:rFonts w:ascii="Times New Roman" w:hAnsi="Times New Roman"/>
          <w:b w:val="0"/>
          <w:i w:val="0"/>
        </w:rPr>
        <w:t>En el Perú, los profesionales de la salud enfrentan una exposición creciente a reclamos por presunta mala praxis y negligencia médica. SUSALUD reportó más de 163 000 atenciones relacionadas con derechos en salud durante 2024, lo que evidencia una demanda sostenida de mecanismos formales de denuncia, intermediación y consulta especializada [1]. En paralelo, la Defensoría del Pueblo identificó brechas de gestión y capacidad resolutiva en institutos especializados de salud [2]. La literatura internacional también asocia los reclamos por mala praxis con evaluación clínica inadecuada, fallas de comunicación y documentación débil [3], [4]. Este escenario incrementa la vulnerabilidad jurídico-profesional, favorece la medicina defensiva [5] y dificulta la estructuración temprana del caso ante un eventual litigio [6].</w:t>
      </w:r>
    </w:p>
    <w:p>
      <w:pPr>
        <w:spacing w:before="0" w:after="60" w:line="240" w:lineRule="auto"/>
      </w:pPr>
      <w:r>
        <w:rPr>
          <w:rFonts w:ascii="Times New Roman" w:hAnsi="Times New Roman"/>
          <w:b w:val="0"/>
          <w:i w:val="0"/>
        </w:rPr>
        <w:t>El problema es relevante porque la demora en la orientación legal agrava esa vulnerabilidad. Frente a una situación de presunta mala praxis, los médicos suelen depender de canales informales como mensajería instantánea, llamadas, correo electrónico o contactos personales, con demoras estimadas de 48 a 72 horas y trazabilidad limitada [7], [8]. El problema es difícil porque los enfoques digitales ingenuos fallan por tres razones: los datos médico-legales son sensibles y regulados [9]; las salidas de caja negra son éticamente inadecuadas cuando está en juego la responsabilidad profesional [10], [11]; y la ausencia de historiales densos de interacción médico-abogado vuelve inapropiado el filtrado colaborativo bajo condiciones de arranque en frío.</w:t>
      </w:r>
    </w:p>
    <w:p>
      <w:pPr>
        <w:spacing w:before="0" w:after="60" w:line="240" w:lineRule="auto"/>
      </w:pPr>
      <w:r>
        <w:rPr>
          <w:rFonts w:ascii="Times New Roman" w:hAnsi="Times New Roman"/>
          <w:b w:val="0"/>
          <w:i w:val="0"/>
        </w:rPr>
        <w:t>Las soluciones existentes abordan solo fragmentos del proceso. Las historias clínicas electrónicas resuelven la documentación clínica, pero no la mediación legal. Plataformas de IA legal como Eve, DigitalOwl y CloudLex apoyan a firmas demandantes o equipos legales en trabajo de casos y revisión de expedientes médicos [12]-[14]. Legalify conecta usuarios con abogados por especialidad y ubicación [15], Medical Legal Center ofrece protección legal para médicos bajo membresía [16], y SAGE brinda orientación médico-legal a sus socios [17]. Ninguna integra clasificación supervisada de consultas, emparejamiento médico-abogado basado en contenido, explicabilidad y trazabilidad del caso en un flujo centrado en el profesional de salud.</w:t>
      </w:r>
    </w:p>
    <w:p>
      <w:pPr>
        <w:spacing w:before="0" w:after="60" w:line="240" w:lineRule="auto"/>
      </w:pPr>
      <w:r>
        <w:rPr>
          <w:rFonts w:ascii="Times New Roman" w:hAnsi="Times New Roman"/>
          <w:b w:val="0"/>
          <w:i w:val="0"/>
        </w:rPr>
        <w:t>Para cerrar esta brecha se propone Sinapsistencia, una plataforma web de mediación médico-legal con tres portales por rol -médico, abogado y administrador-, backend Spring Boot, servicio independiente de aprendizaje automático en FastAPI, persistencia PostgreSQL y registro de auditoría de acciones críticas. Las limitaciones actuales incluyen datos de entrenamiento sintéticos, validación piloto sin historias reales de pacientes y una primera iteración del modelo cuyo desempeño predictivo aún es moderado.</w:t>
      </w:r>
    </w:p>
    <w:p>
      <w:pPr>
        <w:spacing w:before="0" w:after="60" w:line="240" w:lineRule="auto"/>
      </w:pPr>
      <w:r>
        <w:rPr>
          <w:rFonts w:ascii="Times New Roman" w:hAnsi="Times New Roman"/>
          <w:b w:val="0"/>
          <w:i w:val="0"/>
        </w:rPr>
        <w:t>El resto del artículo se organiza de la siguiente manera: la Sección II revisa trabajos relacionados; la Sección III presenta el aporte; la Sección IV describe la solución; la Sección V reporta la validación; y la Sección VI concluye.</w:t>
      </w:r>
    </w:p>
    <w:p>
      <w:pPr>
        <w:keepNext/>
        <w:spacing w:before="80" w:after="60" w:line="240" w:lineRule="auto"/>
        <w:jc w:val="center"/>
      </w:pPr>
      <w:r>
        <w:rPr>
          <w:rFonts w:ascii="Times New Roman" w:hAnsi="Times New Roman"/>
          <w:b/>
          <w:i w:val="0"/>
          <w:smallCaps/>
          <w:sz w:val="20"/>
        </w:rPr>
        <w:t>II. REVISIÓN DE LITERATURA</w:t>
      </w:r>
    </w:p>
    <w:p>
      <w:pPr>
        <w:keepNext/>
        <w:spacing w:before="80" w:after="60" w:line="240" w:lineRule="auto"/>
        <w:jc w:val="left"/>
      </w:pPr>
      <w:r>
        <w:rPr>
          <w:rFonts w:ascii="Times New Roman" w:hAnsi="Times New Roman"/>
          <w:b/>
          <w:i w:val="0"/>
          <w:sz w:val="20"/>
        </w:rPr>
        <w:t>A. Negligencia médica y responsabilidad digital</w:t>
      </w:r>
    </w:p>
    <w:p>
      <w:pPr>
        <w:spacing w:before="0" w:after="60" w:line="240" w:lineRule="auto"/>
      </w:pPr>
      <w:r>
        <w:rPr>
          <w:rFonts w:ascii="Times New Roman" w:hAnsi="Times New Roman"/>
          <w:b w:val="0"/>
          <w:i w:val="0"/>
        </w:rPr>
        <w:t>Miziara y Miziara [5] destacan la documentación y la comunicación como puntos recurrentes de falla en errores médicos y medicina defensiva. Prieto et al. [3] identifican evaluación inadecuada y problemas de comunicación en reclamos de cirugía pediátrica, mientras que Gunenc et al. [4] relacionan el estrés por litigio con la medicina defensiva en especialidades de alto riesgo. Ugarte Mostajo [18] analiza el deber de información como eje de la responsabilidad civil médica en el Perú. Estos trabajos justifican la captura estructurada del caso y la trazabilidad documental, pero no proponen un mecanismo digital que conecte directamente a médicos con abogados especializados.</w:t>
      </w:r>
    </w:p>
    <w:p>
      <w:pPr>
        <w:keepNext/>
        <w:spacing w:before="80" w:after="60" w:line="240" w:lineRule="auto"/>
        <w:jc w:val="left"/>
      </w:pPr>
      <w:r>
        <w:rPr>
          <w:rFonts w:ascii="Times New Roman" w:hAnsi="Times New Roman"/>
          <w:b/>
          <w:i w:val="0"/>
          <w:sz w:val="20"/>
        </w:rPr>
        <w:t>B. IA confiable en contextos clínicos y legales</w:t>
      </w:r>
    </w:p>
    <w:p>
      <w:pPr>
        <w:spacing w:before="0" w:after="60" w:line="240" w:lineRule="auto"/>
      </w:pPr>
      <w:r>
        <w:rPr>
          <w:rFonts w:ascii="Times New Roman" w:hAnsi="Times New Roman"/>
          <w:b w:val="0"/>
          <w:i w:val="0"/>
        </w:rPr>
        <w:t>Jones et al. [10] reportan que la confianza de los clínicos en el soporte basado en IA depende de la transparencia y del mantenimiento del control humano. Wang et al. [19] recomiendan diseño centrado en el humano, transparencia y límites claros de uso para sistemas clínicos con IA. Scott et al. [11] identifican la falta de explicaciones como barrera de adopción. Por ello, Sinapsistencia persiste factores de riesgo y muestra advertencias de que las salidas de IA son apoyo no determinista, no decisiones legales o clínicas.</w:t>
      </w:r>
    </w:p>
    <w:p>
      <w:pPr>
        <w:keepNext/>
        <w:spacing w:before="80" w:after="60" w:line="240" w:lineRule="auto"/>
        <w:jc w:val="left"/>
      </w:pPr>
      <w:r>
        <w:rPr>
          <w:rFonts w:ascii="Times New Roman" w:hAnsi="Times New Roman"/>
          <w:b/>
          <w:i w:val="0"/>
          <w:sz w:val="20"/>
        </w:rPr>
        <w:t>C. Emparejamiento y modelado de riesgo</w:t>
      </w:r>
    </w:p>
    <w:p>
      <w:pPr>
        <w:spacing w:before="0" w:after="60" w:line="240" w:lineRule="auto"/>
      </w:pPr>
      <w:r>
        <w:rPr>
          <w:rFonts w:ascii="Times New Roman" w:hAnsi="Times New Roman"/>
          <w:b w:val="0"/>
          <w:i w:val="0"/>
        </w:rPr>
        <w:t>Manning et al. [20], Ricci et al. [21] y Aggarwal [22] sustentan la recomendación basada en contenido como estrategia adecuada ante arranque en frío. Los bosques aleatorios, introducidos por Breiman [23] y usados en predicción clínica por Wongvibulsin et al. [24], son una línea base robusta para puntuación tabular de riesgo. Sin embargo, Wallace et al. [25] advierten contra la sobreinterpretación causal de la importancia de variables. Sinapsistencia acopla estas técnicas en un flujo médico-legal, usando datos sintéticos alineados con restricciones peruanas de protección de datos [9].</w:t>
      </w:r>
    </w:p>
    <w:p>
      <w:pPr>
        <w:keepNext/>
        <w:spacing w:before="80" w:after="60" w:line="240" w:lineRule="auto"/>
        <w:jc w:val="left"/>
      </w:pPr>
      <w:r>
        <w:rPr>
          <w:rFonts w:ascii="Times New Roman" w:hAnsi="Times New Roman"/>
          <w:b/>
          <w:i w:val="0"/>
          <w:sz w:val="20"/>
        </w:rPr>
        <w:t>D. Plataformas digitales existentes</w:t>
      </w:r>
    </w:p>
    <w:p>
      <w:pPr>
        <w:spacing w:before="0" w:after="60" w:line="240" w:lineRule="auto"/>
      </w:pPr>
      <w:r>
        <w:rPr>
          <w:rFonts w:ascii="Times New Roman" w:hAnsi="Times New Roman"/>
          <w:b w:val="0"/>
          <w:i w:val="0"/>
        </w:rPr>
        <w:t>Eve, DigitalOwl y CloudLex digitalizan trabajo legal, revisión de expedientes médicos o gestión de casos de lesiones personales [12]-[14]. Legalify, Medical Legal Center y SAGE ofrecen conexión legal o asesoramiento médico-legal [15]-[17]. Estas plataformas son valiosas, pero no brindan simultáneamente admisión centrada en el médico, clasificación de riesgo, matching explicable y seguimiento auditable para el contexto sanitario peruano.</w:t>
      </w:r>
    </w:p>
    <w:p>
      <w:pPr>
        <w:spacing w:before="80" w:after="40" w:line="240" w:lineRule="auto"/>
        <w:jc w:val="center"/>
      </w:pPr>
      <w:r>
        <w:rPr>
          <w:rFonts w:ascii="Times New Roman" w:hAnsi="Times New Roman"/>
          <w:b/>
          <w:i w:val="0"/>
          <w:sz w:val="16"/>
        </w:rPr>
        <w:t>TABLA I. COMPARACIÓN DE SOLUCIONES MÉDICO-LEGALES DIGITALES</w:t>
      </w:r>
    </w:p>
    <w:tbl>
      <w:tblPr>
        <w:tblStyle w:val="TableGrid"/>
        <w:tblW w:type="auto" w:w="0"/>
        <w:jc w:val="center"/>
        <w:tblLook w:firstColumn="1" w:firstRow="1" w:lastColumn="0" w:lastRow="0" w:noHBand="0" w:noVBand="1" w:val="04A0"/>
      </w:tblPr>
      <w:tblGrid>
        <w:gridCol w:w="2007"/>
        <w:gridCol w:w="2007"/>
        <w:gridCol w:w="2007"/>
        <w:gridCol w:w="2007"/>
        <w:gridCol w:w="2007"/>
      </w:tblGrid>
      <w:tr>
        <w:tc>
          <w:tcPr>
            <w:tcW w:type="dxa" w:w="2007"/>
            <w:vAlign w:val="center"/>
            <w:shd w:fill="D9EAF7"/>
          </w:tcPr>
          <w:p>
            <w:pPr>
              <w:spacing w:after="0" w:line="240" w:lineRule="auto"/>
            </w:pPr>
            <w:r/>
            <w:r>
              <w:rPr>
                <w:rFonts w:ascii="Times New Roman" w:hAnsi="Times New Roman"/>
                <w:b/>
                <w:sz w:val="16"/>
              </w:rPr>
              <w:t>Solución</w:t>
            </w:r>
          </w:p>
        </w:tc>
        <w:tc>
          <w:tcPr>
            <w:tcW w:type="dxa" w:w="2007"/>
            <w:vAlign w:val="center"/>
            <w:shd w:fill="D9EAF7"/>
          </w:tcPr>
          <w:p>
            <w:pPr>
              <w:spacing w:after="0" w:line="240" w:lineRule="auto"/>
            </w:pPr>
            <w:r/>
            <w:r>
              <w:rPr>
                <w:rFonts w:ascii="Times New Roman" w:hAnsi="Times New Roman"/>
                <w:b/>
                <w:sz w:val="16"/>
              </w:rPr>
              <w:t>Clasif. riesgo</w:t>
            </w:r>
          </w:p>
        </w:tc>
        <w:tc>
          <w:tcPr>
            <w:tcW w:type="dxa" w:w="2007"/>
            <w:vAlign w:val="center"/>
            <w:shd w:fill="D9EAF7"/>
          </w:tcPr>
          <w:p>
            <w:pPr>
              <w:spacing w:after="0" w:line="240" w:lineRule="auto"/>
            </w:pPr>
            <w:r/>
            <w:r>
              <w:rPr>
                <w:rFonts w:ascii="Times New Roman" w:hAnsi="Times New Roman"/>
                <w:b/>
                <w:sz w:val="16"/>
              </w:rPr>
              <w:t>Emparej. contenido</w:t>
            </w:r>
          </w:p>
        </w:tc>
        <w:tc>
          <w:tcPr>
            <w:tcW w:type="dxa" w:w="2007"/>
            <w:vAlign w:val="center"/>
            <w:shd w:fill="D9EAF7"/>
          </w:tcPr>
          <w:p>
            <w:pPr>
              <w:spacing w:after="0" w:line="240" w:lineRule="auto"/>
            </w:pPr>
            <w:r/>
            <w:r>
              <w:rPr>
                <w:rFonts w:ascii="Times New Roman" w:hAnsi="Times New Roman"/>
                <w:b/>
                <w:sz w:val="16"/>
              </w:rPr>
              <w:t>Trazabilidad</w:t>
            </w:r>
          </w:p>
        </w:tc>
        <w:tc>
          <w:tcPr>
            <w:tcW w:type="dxa" w:w="2007"/>
            <w:vAlign w:val="center"/>
            <w:shd w:fill="D9EAF7"/>
          </w:tcPr>
          <w:p>
            <w:pPr>
              <w:spacing w:after="0" w:line="240" w:lineRule="auto"/>
            </w:pPr>
            <w:r/>
            <w:r>
              <w:rPr>
                <w:rFonts w:ascii="Times New Roman" w:hAnsi="Times New Roman"/>
                <w:b/>
                <w:sz w:val="16"/>
              </w:rPr>
              <w:t>Explicabilidad</w:t>
            </w:r>
          </w:p>
        </w:tc>
      </w:tr>
      <w:tr>
        <w:tc>
          <w:tcPr>
            <w:tcW w:type="dxa" w:w="2007"/>
            <w:vAlign w:val="center"/>
          </w:tcPr>
          <w:p>
            <w:pPr>
              <w:spacing w:after="0" w:line="240" w:lineRule="auto"/>
            </w:pPr>
            <w:r/>
            <w:r>
              <w:rPr>
                <w:rFonts w:ascii="Times New Roman" w:hAnsi="Times New Roman"/>
                <w:b w:val="0"/>
                <w:sz w:val="16"/>
              </w:rPr>
              <w:t>Historias clínicas electrónicas</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Parcial</w:t>
            </w:r>
          </w:p>
        </w:tc>
        <w:tc>
          <w:tcPr>
            <w:tcW w:type="dxa" w:w="2007"/>
            <w:vAlign w:val="center"/>
          </w:tcPr>
          <w:p>
            <w:pPr>
              <w:spacing w:after="0" w:line="240" w:lineRule="auto"/>
            </w:pPr>
            <w:r/>
            <w:r>
              <w:rPr>
                <w:rFonts w:ascii="Times New Roman" w:hAnsi="Times New Roman"/>
                <w:b w:val="0"/>
                <w:sz w:val="16"/>
              </w:rPr>
              <w:t>No</w:t>
            </w:r>
          </w:p>
        </w:tc>
      </w:tr>
      <w:tr>
        <w:tc>
          <w:tcPr>
            <w:tcW w:type="dxa" w:w="2007"/>
            <w:vAlign w:val="center"/>
          </w:tcPr>
          <w:p>
            <w:pPr>
              <w:spacing w:after="0" w:line="240" w:lineRule="auto"/>
            </w:pPr>
            <w:r/>
            <w:r>
              <w:rPr>
                <w:rFonts w:ascii="Times New Roman" w:hAnsi="Times New Roman"/>
                <w:b w:val="0"/>
                <w:sz w:val="16"/>
              </w:rPr>
              <w:t>Eve / DigitalOwl / CloudLex</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Parcial</w:t>
            </w:r>
          </w:p>
        </w:tc>
        <w:tc>
          <w:tcPr>
            <w:tcW w:type="dxa" w:w="2007"/>
            <w:vAlign w:val="center"/>
          </w:tcPr>
          <w:p>
            <w:pPr>
              <w:spacing w:after="0" w:line="240" w:lineRule="auto"/>
            </w:pPr>
            <w:r/>
            <w:r>
              <w:rPr>
                <w:rFonts w:ascii="Times New Roman" w:hAnsi="Times New Roman"/>
                <w:b w:val="0"/>
                <w:sz w:val="16"/>
              </w:rPr>
              <w:t>Variable</w:t>
            </w:r>
          </w:p>
        </w:tc>
      </w:tr>
      <w:tr>
        <w:tc>
          <w:tcPr>
            <w:tcW w:type="dxa" w:w="2007"/>
            <w:vAlign w:val="center"/>
          </w:tcPr>
          <w:p>
            <w:pPr>
              <w:spacing w:after="0" w:line="240" w:lineRule="auto"/>
            </w:pPr>
            <w:r/>
            <w:r>
              <w:rPr>
                <w:rFonts w:ascii="Times New Roman" w:hAnsi="Times New Roman"/>
                <w:b w:val="0"/>
                <w:sz w:val="16"/>
              </w:rPr>
              <w:t>Legalify / Medical Legal Center / SAGE</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Parcial</w:t>
            </w:r>
          </w:p>
        </w:tc>
        <w:tc>
          <w:tcPr>
            <w:tcW w:type="dxa" w:w="2007"/>
            <w:vAlign w:val="center"/>
          </w:tcPr>
          <w:p>
            <w:pPr>
              <w:spacing w:after="0" w:line="240" w:lineRule="auto"/>
            </w:pPr>
            <w:r/>
            <w:r>
              <w:rPr>
                <w:rFonts w:ascii="Times New Roman" w:hAnsi="Times New Roman"/>
                <w:b w:val="0"/>
                <w:sz w:val="16"/>
              </w:rPr>
              <w:t>Parcial</w:t>
            </w:r>
          </w:p>
        </w:tc>
        <w:tc>
          <w:tcPr>
            <w:tcW w:type="dxa" w:w="2007"/>
            <w:vAlign w:val="center"/>
          </w:tcPr>
          <w:p>
            <w:pPr>
              <w:spacing w:after="0" w:line="240" w:lineRule="auto"/>
            </w:pPr>
            <w:r/>
            <w:r>
              <w:rPr>
                <w:rFonts w:ascii="Times New Roman" w:hAnsi="Times New Roman"/>
                <w:b w:val="0"/>
                <w:sz w:val="16"/>
              </w:rPr>
              <w:t>No</w:t>
            </w:r>
          </w:p>
        </w:tc>
      </w:tr>
      <w:tr>
        <w:tc>
          <w:tcPr>
            <w:tcW w:type="dxa" w:w="2007"/>
            <w:vAlign w:val="center"/>
          </w:tcPr>
          <w:p>
            <w:pPr>
              <w:spacing w:after="0" w:line="240" w:lineRule="auto"/>
            </w:pPr>
            <w:r/>
            <w:r>
              <w:rPr>
                <w:rFonts w:ascii="Times New Roman" w:hAnsi="Times New Roman"/>
                <w:b w:val="0"/>
                <w:sz w:val="16"/>
              </w:rPr>
              <w:t>Sistemas de apoyo a decisión clínica</w:t>
            </w:r>
          </w:p>
        </w:tc>
        <w:tc>
          <w:tcPr>
            <w:tcW w:type="dxa" w:w="2007"/>
            <w:vAlign w:val="center"/>
          </w:tcPr>
          <w:p>
            <w:pPr>
              <w:spacing w:after="0" w:line="240" w:lineRule="auto"/>
            </w:pPr>
            <w:r/>
            <w:r>
              <w:rPr>
                <w:rFonts w:ascii="Times New Roman" w:hAnsi="Times New Roman"/>
                <w:b w:val="0"/>
                <w:sz w:val="16"/>
              </w:rPr>
              <w:t>Sí (clínico)</w:t>
            </w:r>
          </w:p>
        </w:tc>
        <w:tc>
          <w:tcPr>
            <w:tcW w:type="dxa" w:w="2007"/>
            <w:vAlign w:val="center"/>
          </w:tcPr>
          <w:p>
            <w:pPr>
              <w:spacing w:after="0" w:line="240" w:lineRule="auto"/>
            </w:pPr>
            <w:r/>
            <w:r>
              <w:rPr>
                <w:rFonts w:ascii="Times New Roman" w:hAnsi="Times New Roman"/>
                <w:b w:val="0"/>
                <w:sz w:val="16"/>
              </w:rPr>
              <w:t>No</w:t>
            </w:r>
          </w:p>
        </w:tc>
        <w:tc>
          <w:tcPr>
            <w:tcW w:type="dxa" w:w="2007"/>
            <w:vAlign w:val="center"/>
          </w:tcPr>
          <w:p>
            <w:pPr>
              <w:spacing w:after="0" w:line="240" w:lineRule="auto"/>
            </w:pPr>
            <w:r/>
            <w:r>
              <w:rPr>
                <w:rFonts w:ascii="Times New Roman" w:hAnsi="Times New Roman"/>
                <w:b w:val="0"/>
                <w:sz w:val="16"/>
              </w:rPr>
              <w:t>Parcial</w:t>
            </w:r>
          </w:p>
        </w:tc>
        <w:tc>
          <w:tcPr>
            <w:tcW w:type="dxa" w:w="2007"/>
            <w:vAlign w:val="center"/>
          </w:tcPr>
          <w:p>
            <w:pPr>
              <w:spacing w:after="0" w:line="240" w:lineRule="auto"/>
            </w:pPr>
            <w:r/>
            <w:r>
              <w:rPr>
                <w:rFonts w:ascii="Times New Roman" w:hAnsi="Times New Roman"/>
                <w:b w:val="0"/>
                <w:sz w:val="16"/>
              </w:rPr>
              <w:t>Variable</w:t>
            </w:r>
          </w:p>
        </w:tc>
      </w:tr>
      <w:tr>
        <w:tc>
          <w:tcPr>
            <w:tcW w:type="dxa" w:w="2007"/>
            <w:vAlign w:val="center"/>
          </w:tcPr>
          <w:p>
            <w:pPr>
              <w:spacing w:after="0" w:line="240" w:lineRule="auto"/>
            </w:pPr>
            <w:r/>
            <w:r>
              <w:rPr>
                <w:rFonts w:ascii="Times New Roman" w:hAnsi="Times New Roman"/>
                <w:b w:val="0"/>
                <w:sz w:val="16"/>
              </w:rPr>
              <w:t>Sinapsistencia (propuesta)</w:t>
            </w:r>
          </w:p>
        </w:tc>
        <w:tc>
          <w:tcPr>
            <w:tcW w:type="dxa" w:w="2007"/>
            <w:vAlign w:val="center"/>
          </w:tcPr>
          <w:p>
            <w:pPr>
              <w:spacing w:after="0" w:line="240" w:lineRule="auto"/>
            </w:pPr>
            <w:r/>
            <w:r>
              <w:rPr>
                <w:rFonts w:ascii="Times New Roman" w:hAnsi="Times New Roman"/>
                <w:b w:val="0"/>
                <w:sz w:val="16"/>
              </w:rPr>
              <w:t>Sí</w:t>
            </w:r>
          </w:p>
        </w:tc>
        <w:tc>
          <w:tcPr>
            <w:tcW w:type="dxa" w:w="2007"/>
            <w:vAlign w:val="center"/>
          </w:tcPr>
          <w:p>
            <w:pPr>
              <w:spacing w:after="0" w:line="240" w:lineRule="auto"/>
            </w:pPr>
            <w:r/>
            <w:r>
              <w:rPr>
                <w:rFonts w:ascii="Times New Roman" w:hAnsi="Times New Roman"/>
                <w:b w:val="0"/>
                <w:sz w:val="16"/>
              </w:rPr>
              <w:t>Sí</w:t>
            </w:r>
          </w:p>
        </w:tc>
        <w:tc>
          <w:tcPr>
            <w:tcW w:type="dxa" w:w="2007"/>
            <w:vAlign w:val="center"/>
          </w:tcPr>
          <w:p>
            <w:pPr>
              <w:spacing w:after="0" w:line="240" w:lineRule="auto"/>
            </w:pPr>
            <w:r/>
            <w:r>
              <w:rPr>
                <w:rFonts w:ascii="Times New Roman" w:hAnsi="Times New Roman"/>
                <w:b w:val="0"/>
                <w:sz w:val="16"/>
              </w:rPr>
              <w:t>Sí</w:t>
            </w:r>
          </w:p>
        </w:tc>
        <w:tc>
          <w:tcPr>
            <w:tcW w:type="dxa" w:w="2007"/>
            <w:vAlign w:val="center"/>
          </w:tcPr>
          <w:p>
            <w:pPr>
              <w:spacing w:after="0" w:line="240" w:lineRule="auto"/>
            </w:pPr>
            <w:r/>
            <w:r>
              <w:rPr>
                <w:rFonts w:ascii="Times New Roman" w:hAnsi="Times New Roman"/>
                <w:b w:val="0"/>
                <w:sz w:val="16"/>
              </w:rPr>
              <w:t>Sí</w:t>
            </w:r>
          </w:p>
        </w:tc>
      </w:tr>
    </w:tbl>
    <w:p>
      <w:pPr>
        <w:keepNext/>
        <w:spacing w:before="80" w:after="60" w:line="240" w:lineRule="auto"/>
        <w:jc w:val="center"/>
      </w:pPr>
      <w:r>
        <w:rPr>
          <w:rFonts w:ascii="Times New Roman" w:hAnsi="Times New Roman"/>
          <w:b/>
          <w:i w:val="0"/>
          <w:smallCaps/>
          <w:sz w:val="20"/>
        </w:rPr>
        <w:t>III. APORTE</w:t>
      </w:r>
    </w:p>
    <w:p>
      <w:pPr>
        <w:spacing w:before="0" w:after="60" w:line="240" w:lineRule="auto"/>
      </w:pPr>
      <w:r>
        <w:rPr>
          <w:rFonts w:ascii="Times New Roman" w:hAnsi="Times New Roman"/>
          <w:b w:val="0"/>
          <w:i w:val="0"/>
        </w:rPr>
        <w:t>El aporte de este trabajo es un artefacto de software -la plataforma Sinapsistencia- que integra aprendizaje automático explicable, emparejamiento por contenido y trazabilidad auditable en un único flujo de mediación médico-legal. El valor añadido se concreta en cuatro contribuciones:</w:t>
      </w:r>
    </w:p>
    <w:p>
      <w:pPr>
        <w:spacing w:before="0" w:after="60" w:line="240" w:lineRule="auto"/>
      </w:pPr>
      <w:r>
        <w:rPr>
          <w:rFonts w:ascii="Times New Roman" w:hAnsi="Times New Roman"/>
          <w:b w:val="0"/>
          <w:i w:val="0"/>
        </w:rPr>
        <w:t>C1. Flujo integrado de mediación. La clasificación de riesgo legal, la recomendación de abogado y el seguimiento trazable del caso se unifican en un proceso digital orientado al profesional de salud.</w:t>
      </w:r>
    </w:p>
    <w:p>
      <w:pPr>
        <w:spacing w:before="0" w:after="60" w:line="240" w:lineRule="auto"/>
      </w:pPr>
      <w:r>
        <w:rPr>
          <w:rFonts w:ascii="Times New Roman" w:hAnsi="Times New Roman"/>
          <w:b w:val="0"/>
          <w:i w:val="0"/>
        </w:rPr>
        <w:t>C2. Inferencia explicable y desacoplada. La inferencia se ejecuta en un microservicio FastAPI independiente y almacena versión del modelo, nivel de riesgo, puntaje y factores mostrados como apoyo a la decisión.</w:t>
      </w:r>
    </w:p>
    <w:p>
      <w:pPr>
        <w:spacing w:before="0" w:after="60" w:line="240" w:lineRule="auto"/>
      </w:pPr>
      <w:r>
        <w:rPr>
          <w:rFonts w:ascii="Times New Roman" w:hAnsi="Times New Roman"/>
          <w:b w:val="0"/>
          <w:i w:val="0"/>
        </w:rPr>
        <w:t>C3. Respaldo ante arranque en frío. Si el servicio de aprendizaje automático no está disponible, los abogados se ordenan por coincidencia de área médica declarada, preservando continuidad sin historial de interacciones.</w:t>
      </w:r>
    </w:p>
    <w:p>
      <w:pPr>
        <w:spacing w:before="0" w:after="60" w:line="240" w:lineRule="auto"/>
      </w:pPr>
      <w:r>
        <w:rPr>
          <w:rFonts w:ascii="Times New Roman" w:hAnsi="Times New Roman"/>
          <w:b w:val="0"/>
          <w:i w:val="0"/>
        </w:rPr>
        <w:t>C4. Dataset sintético reproducible. Un conjunto de 6 000 casos generado con reglas de negocio explícitas y ruido controlado permite entrenar sin información identificable de pacientes.</w:t>
      </w:r>
    </w:p>
    <w:p>
      <w:pPr>
        <w:keepNext/>
        <w:spacing w:before="80" w:after="60" w:line="240" w:lineRule="auto"/>
        <w:jc w:val="center"/>
      </w:pPr>
      <w:r>
        <w:rPr>
          <w:rFonts w:ascii="Times New Roman" w:hAnsi="Times New Roman"/>
          <w:b/>
          <w:i w:val="0"/>
          <w:smallCaps/>
          <w:sz w:val="20"/>
        </w:rPr>
        <w:t>IV. SOLUCIÓN PROPUESTA</w:t>
      </w:r>
    </w:p>
    <w:p>
      <w:pPr>
        <w:spacing w:before="0" w:after="60" w:line="240" w:lineRule="auto"/>
      </w:pPr>
      <w:r>
        <w:rPr>
          <w:rFonts w:ascii="Times New Roman" w:hAnsi="Times New Roman"/>
          <w:b w:val="0"/>
          <w:i w:val="0"/>
        </w:rPr>
        <w:t>Sinapsistencia sigue una arquitectura desacoplada de microservicios (Fig. 1). El frontend Angular consume APIs REST expuestas por un backend Spring Boot protegido con JSON Web Tokens y control de acceso basado en roles. PostgreSQL almacena datos operativos y Flyway versiona las migraciones. FastAPI aloja los modelos de riesgo y matching y se invoca mediante un proxy HTTP con tiempo de espera y degradación controlada.</w:t>
      </w:r>
    </w:p>
    <w:p>
      <w:commentRangeStart w:id="0"/>
      <w:pPr>
        <w:pStyle w:val="CommentPlaceholder"/>
        <w:spacing w:before="0" w:after="60" w:line="240" w:lineRule="auto"/>
      </w:pPr>
      <w:r>
        <w:rPr>
          <w:rFonts w:ascii="Times New Roman" w:hAnsi="Times New Roman"/>
          <w:b w:val="0"/>
          <w:i w:val="0"/>
        </w:rPr>
        <w:t>[FIGURE PENDING 1: Layered architecture of Sinapsistencia / Arquitectura por capas de Sinapsistencia]</w:t>
      </w:r>
      <w:commentRangeEnd w:id="0"/>
      <w:r>
        <w:commentReference w:id="0"/>
      </w:r>
    </w:p>
    <w:p>
      <w:pPr>
        <w:keepNext/>
        <w:spacing w:before="80" w:after="60" w:line="240" w:lineRule="auto"/>
        <w:jc w:val="left"/>
      </w:pPr>
      <w:r>
        <w:rPr>
          <w:rFonts w:ascii="Times New Roman" w:hAnsi="Times New Roman"/>
          <w:b/>
          <w:i w:val="0"/>
          <w:sz w:val="20"/>
        </w:rPr>
        <w:t>A. Arquitectura del sistema</w:t>
      </w:r>
    </w:p>
    <w:p>
      <w:pPr>
        <w:spacing w:before="0" w:after="60" w:line="240" w:lineRule="auto"/>
      </w:pPr>
      <w:r>
        <w:rPr>
          <w:rFonts w:ascii="Times New Roman" w:hAnsi="Times New Roman"/>
          <w:b w:val="0"/>
          <w:i w:val="0"/>
        </w:rPr>
        <w:t>El portal médico registra consultas con contexto clínico-legal simulado sin datos identificables de pacientes. El portal abogado lista casos pendientes o pertinentes según las especialidades declaradas. El portal administrador gestiona usuarios, auditoría, métricas del modelo y reportes. Las reglas de pertenencia impiden que un médico visualice consultas de otros médicos, y se validaron mediante pruebas de integración.</w:t>
      </w:r>
    </w:p>
    <w:p>
      <w:pPr>
        <w:keepNext/>
        <w:spacing w:before="80" w:after="60" w:line="240" w:lineRule="auto"/>
        <w:jc w:val="left"/>
      </w:pPr>
      <w:r>
        <w:rPr>
          <w:rFonts w:ascii="Times New Roman" w:hAnsi="Times New Roman"/>
          <w:b/>
          <w:i w:val="0"/>
          <w:sz w:val="20"/>
        </w:rPr>
        <w:t>B. Modelo de evaluación de riesgo</w:t>
      </w:r>
    </w:p>
    <w:p>
      <w:pPr>
        <w:spacing w:before="0" w:after="60" w:line="240" w:lineRule="auto"/>
      </w:pPr>
      <w:r>
        <w:rPr>
          <w:rFonts w:ascii="Times New Roman" w:hAnsi="Times New Roman"/>
          <w:b w:val="0"/>
          <w:i w:val="0"/>
        </w:rPr>
        <w:t>El módulo de riesgo predice una puntuación continua y un nivel categórico -bajo, moderado, alto o crítico- a partir de variables estructuradas: especialidad médica, complejidad del procedimiento, prioridad clínica, completitud documental, consentimiento informado, quejas previas y días transcurridos desde el incidente. El modelo actual rf-v1 usa un clasificador de bosques aleatorios de 200 árboles y un regresor del mismo tipo. El sistema combina importancia global de variables con valores normalizados del caso para producir factores de riesgo visibles al usuario.</w:t>
      </w:r>
    </w:p>
    <w:p>
      <w:commentRangeStart w:id="1"/>
      <w:pPr>
        <w:pStyle w:val="CommentPlaceholder"/>
        <w:spacing w:before="0" w:after="60" w:line="240" w:lineRule="auto"/>
      </w:pPr>
      <w:r>
        <w:rPr>
          <w:rFonts w:ascii="Times New Roman" w:hAnsi="Times New Roman"/>
          <w:b w:val="0"/>
          <w:i w:val="0"/>
        </w:rPr>
        <w:t>[FIGURE PENDING 2: Risk-assessment and lawyer-recommendation workflow / Flujo de evaluación de riesgo y recomendación de abogado]</w:t>
      </w:r>
      <w:commentRangeEnd w:id="1"/>
      <w:r>
        <w:commentReference w:id="1"/>
      </w:r>
    </w:p>
    <w:p>
      <w:pPr>
        <w:keepNext/>
        <w:spacing w:before="80" w:after="60" w:line="240" w:lineRule="auto"/>
        <w:jc w:val="left"/>
      </w:pPr>
      <w:r>
        <w:rPr>
          <w:rFonts w:ascii="Times New Roman" w:hAnsi="Times New Roman"/>
          <w:b/>
          <w:i w:val="0"/>
          <w:sz w:val="20"/>
        </w:rPr>
        <w:t>C. Emparejamiento médico-abogado</w:t>
      </w:r>
    </w:p>
    <w:p>
      <w:pPr>
        <w:spacing w:before="0" w:after="60" w:line="240" w:lineRule="auto"/>
      </w:pPr>
      <w:r>
        <w:rPr>
          <w:rFonts w:ascii="Times New Roman" w:hAnsi="Times New Roman"/>
          <w:b w:val="0"/>
          <w:i w:val="0"/>
        </w:rPr>
        <w:t>Los perfiles de abogados se vectorizan a partir de especialidades legales, áreas médicas de interés y descripción biográfica mediante TF-IDF. Las consultas se comparan con estos perfiles mediante similitud del coseno. La salida incluye puntaje de afinidad, especialidades coincidentes y razones en lenguaje natural. Este enfoque es más adecuado que el filtrado colaborativo porque el prototipo no cuenta con historial denso de interacciones.</w:t>
      </w:r>
    </w:p>
    <w:p>
      <w:pPr>
        <w:keepNext/>
        <w:spacing w:before="80" w:after="60" w:line="240" w:lineRule="auto"/>
        <w:jc w:val="left"/>
      </w:pPr>
      <w:r>
        <w:rPr>
          <w:rFonts w:ascii="Times New Roman" w:hAnsi="Times New Roman"/>
          <w:b/>
          <w:i w:val="0"/>
          <w:sz w:val="20"/>
        </w:rPr>
        <w:t>D. Contrato API y trazabilidad</w:t>
      </w:r>
    </w:p>
    <w:p>
      <w:pPr>
        <w:spacing w:before="0" w:after="60" w:line="240" w:lineRule="auto"/>
      </w:pPr>
      <w:r>
        <w:rPr>
          <w:rFonts w:ascii="Times New Roman" w:hAnsi="Times New Roman"/>
          <w:b w:val="0"/>
          <w:i w:val="0"/>
        </w:rPr>
        <w:t>El servicio ML expone GET /health, GET /api/v1/model/info, POST /api/v1/risk-assessment y POST /api/v1/recommendations. El backend actúa como proxy y normaliza las respuestas para el frontend, mientras los eventos de auditoría registran autenticación, cambios de consulta, asignaciones, acciones documentales y operaciones administrativas.</w:t>
      </w:r>
    </w:p>
    <w:p>
      <w:pPr>
        <w:keepNext/>
        <w:spacing w:before="80" w:after="60" w:line="240" w:lineRule="auto"/>
        <w:jc w:val="center"/>
      </w:pPr>
      <w:r>
        <w:rPr>
          <w:rFonts w:ascii="Times New Roman" w:hAnsi="Times New Roman"/>
          <w:b/>
          <w:i w:val="0"/>
          <w:smallCaps/>
          <w:sz w:val="20"/>
        </w:rPr>
        <w:t>V. EXPERIMENTOS Y VALIDACIÓN</w:t>
      </w:r>
    </w:p>
    <w:p>
      <w:pPr>
        <w:keepNext/>
        <w:spacing w:before="80" w:after="60" w:line="240" w:lineRule="auto"/>
        <w:jc w:val="left"/>
      </w:pPr>
      <w:r>
        <w:rPr>
          <w:rFonts w:ascii="Times New Roman" w:hAnsi="Times New Roman"/>
          <w:b/>
          <w:i w:val="0"/>
          <w:sz w:val="20"/>
        </w:rPr>
        <w:t>A. Protocolo experimental</w:t>
      </w:r>
    </w:p>
    <w:p>
      <w:pPr>
        <w:spacing w:before="0" w:after="60" w:line="240" w:lineRule="auto"/>
      </w:pPr>
      <w:r>
        <w:rPr>
          <w:rFonts w:ascii="Times New Roman" w:hAnsi="Times New Roman"/>
          <w:b w:val="0"/>
          <w:i w:val="0"/>
        </w:rPr>
        <w:t>La validación siguió cuatro frentes alineados con el plan de calidad: evaluación fuera de línea del modelo, pruebas de integración del backend, verificación de compilación de producción del frontend y escenarios funcionales incrementales del catálogo académico de pruebas. El dataset sintético se dividió 80/20 con estratificación por nivel de riesgo. Los experimentos se ejecutaron con Python 3.12, scikit-learn 1.5.2 y FastAPI 0.115.0. El matching se evaluó cualitativamente con ocho perfiles de abogados sembrados en PostgreSQL.</w:t>
      </w:r>
    </w:p>
    <w:p>
      <w:pPr>
        <w:keepNext/>
        <w:spacing w:before="80" w:after="60" w:line="240" w:lineRule="auto"/>
        <w:jc w:val="left"/>
      </w:pPr>
      <w:r>
        <w:rPr>
          <w:rFonts w:ascii="Times New Roman" w:hAnsi="Times New Roman"/>
          <w:b/>
          <w:i w:val="0"/>
          <w:sz w:val="20"/>
        </w:rPr>
        <w:t>B. Resultados cuantitativos</w:t>
      </w:r>
    </w:p>
    <w:p>
      <w:pPr>
        <w:spacing w:before="80" w:after="40" w:line="240" w:lineRule="auto"/>
        <w:jc w:val="center"/>
      </w:pPr>
      <w:r>
        <w:rPr>
          <w:rFonts w:ascii="Times New Roman" w:hAnsi="Times New Roman"/>
          <w:b/>
          <w:i w:val="0"/>
          <w:sz w:val="16"/>
        </w:rPr>
        <w:t>TABLA II. MÉTRICAS DE EVALUACIÓN DEL CLASIFICADOR DE RIESGO (rf-v1)</w:t>
      </w:r>
    </w:p>
    <w:tbl>
      <w:tblPr>
        <w:tblStyle w:val="TableGrid"/>
        <w:tblW w:type="auto" w:w="0"/>
        <w:jc w:val="center"/>
        <w:tblLook w:firstColumn="1" w:firstRow="1" w:lastColumn="0" w:lastRow="0" w:noHBand="0" w:noVBand="1" w:val="04A0"/>
      </w:tblPr>
      <w:tblGrid>
        <w:gridCol w:w="5018"/>
        <w:gridCol w:w="5018"/>
      </w:tblGrid>
      <w:tr>
        <w:tc>
          <w:tcPr>
            <w:tcW w:type="dxa" w:w="5018"/>
            <w:vAlign w:val="center"/>
            <w:shd w:fill="D9EAF7"/>
          </w:tcPr>
          <w:p>
            <w:pPr>
              <w:spacing w:after="0" w:line="240" w:lineRule="auto"/>
            </w:pPr>
            <w:r/>
            <w:r>
              <w:rPr>
                <w:rFonts w:ascii="Times New Roman" w:hAnsi="Times New Roman"/>
                <w:b/>
                <w:sz w:val="16"/>
              </w:rPr>
              <w:t>Métrica</w:t>
            </w:r>
          </w:p>
        </w:tc>
        <w:tc>
          <w:tcPr>
            <w:tcW w:type="dxa" w:w="5018"/>
            <w:vAlign w:val="center"/>
            <w:shd w:fill="D9EAF7"/>
          </w:tcPr>
          <w:p>
            <w:pPr>
              <w:spacing w:after="0" w:line="240" w:lineRule="auto"/>
            </w:pPr>
            <w:r/>
            <w:r>
              <w:rPr>
                <w:rFonts w:ascii="Times New Roman" w:hAnsi="Times New Roman"/>
                <w:b/>
                <w:sz w:val="16"/>
              </w:rPr>
              <w:t>Valor</w:t>
            </w:r>
          </w:p>
        </w:tc>
      </w:tr>
      <w:tr>
        <w:tc>
          <w:tcPr>
            <w:tcW w:type="dxa" w:w="5018"/>
            <w:vAlign w:val="center"/>
          </w:tcPr>
          <w:p>
            <w:pPr>
              <w:spacing w:after="0" w:line="240" w:lineRule="auto"/>
            </w:pPr>
            <w:r/>
            <w:r>
              <w:rPr>
                <w:rFonts w:ascii="Times New Roman" w:hAnsi="Times New Roman"/>
                <w:b w:val="0"/>
                <w:sz w:val="16"/>
              </w:rPr>
              <w:t>Precisión macro</w:t>
            </w:r>
          </w:p>
        </w:tc>
        <w:tc>
          <w:tcPr>
            <w:tcW w:type="dxa" w:w="5018"/>
            <w:vAlign w:val="center"/>
          </w:tcPr>
          <w:p>
            <w:pPr>
              <w:spacing w:after="0" w:line="240" w:lineRule="auto"/>
            </w:pPr>
            <w:r/>
            <w:r>
              <w:rPr>
                <w:rFonts w:ascii="Times New Roman" w:hAnsi="Times New Roman"/>
                <w:b w:val="0"/>
                <w:sz w:val="16"/>
              </w:rPr>
              <w:t>0.6179</w:t>
            </w:r>
          </w:p>
        </w:tc>
      </w:tr>
      <w:tr>
        <w:tc>
          <w:tcPr>
            <w:tcW w:type="dxa" w:w="5018"/>
            <w:vAlign w:val="center"/>
          </w:tcPr>
          <w:p>
            <w:pPr>
              <w:spacing w:after="0" w:line="240" w:lineRule="auto"/>
            </w:pPr>
            <w:r/>
            <w:r>
              <w:rPr>
                <w:rFonts w:ascii="Times New Roman" w:hAnsi="Times New Roman"/>
                <w:b w:val="0"/>
                <w:sz w:val="16"/>
              </w:rPr>
              <w:t>Exhaustividad macro</w:t>
            </w:r>
          </w:p>
        </w:tc>
        <w:tc>
          <w:tcPr>
            <w:tcW w:type="dxa" w:w="5018"/>
            <w:vAlign w:val="center"/>
          </w:tcPr>
          <w:p>
            <w:pPr>
              <w:spacing w:after="0" w:line="240" w:lineRule="auto"/>
            </w:pPr>
            <w:r/>
            <w:r>
              <w:rPr>
                <w:rFonts w:ascii="Times New Roman" w:hAnsi="Times New Roman"/>
                <w:b w:val="0"/>
                <w:sz w:val="16"/>
              </w:rPr>
              <w:t>0.5973</w:t>
            </w:r>
          </w:p>
        </w:tc>
      </w:tr>
      <w:tr>
        <w:tc>
          <w:tcPr>
            <w:tcW w:type="dxa" w:w="5018"/>
            <w:vAlign w:val="center"/>
          </w:tcPr>
          <w:p>
            <w:pPr>
              <w:spacing w:after="0" w:line="240" w:lineRule="auto"/>
            </w:pPr>
            <w:r/>
            <w:r>
              <w:rPr>
                <w:rFonts w:ascii="Times New Roman" w:hAnsi="Times New Roman"/>
                <w:b w:val="0"/>
                <w:sz w:val="16"/>
              </w:rPr>
              <w:t>F1 macro</w:t>
            </w:r>
          </w:p>
        </w:tc>
        <w:tc>
          <w:tcPr>
            <w:tcW w:type="dxa" w:w="5018"/>
            <w:vAlign w:val="center"/>
          </w:tcPr>
          <w:p>
            <w:pPr>
              <w:spacing w:after="0" w:line="240" w:lineRule="auto"/>
            </w:pPr>
            <w:r/>
            <w:r>
              <w:rPr>
                <w:rFonts w:ascii="Times New Roman" w:hAnsi="Times New Roman"/>
                <w:b w:val="0"/>
                <w:sz w:val="16"/>
              </w:rPr>
              <w:t>0.6034</w:t>
            </w:r>
          </w:p>
        </w:tc>
      </w:tr>
      <w:tr>
        <w:tc>
          <w:tcPr>
            <w:tcW w:type="dxa" w:w="5018"/>
            <w:vAlign w:val="center"/>
          </w:tcPr>
          <w:p>
            <w:pPr>
              <w:spacing w:after="0" w:line="240" w:lineRule="auto"/>
            </w:pPr>
            <w:r/>
            <w:r>
              <w:rPr>
                <w:rFonts w:ascii="Times New Roman" w:hAnsi="Times New Roman"/>
                <w:b w:val="0"/>
                <w:sz w:val="16"/>
              </w:rPr>
              <w:t>Tamaño del dataset</w:t>
            </w:r>
          </w:p>
        </w:tc>
        <w:tc>
          <w:tcPr>
            <w:tcW w:type="dxa" w:w="5018"/>
            <w:vAlign w:val="center"/>
          </w:tcPr>
          <w:p>
            <w:pPr>
              <w:spacing w:after="0" w:line="240" w:lineRule="auto"/>
            </w:pPr>
            <w:r/>
            <w:r>
              <w:rPr>
                <w:rFonts w:ascii="Times New Roman" w:hAnsi="Times New Roman"/>
                <w:b w:val="0"/>
                <w:sz w:val="16"/>
              </w:rPr>
              <w:t>6 000 casos sintéticos</w:t>
            </w:r>
          </w:p>
        </w:tc>
      </w:tr>
      <w:tr>
        <w:tc>
          <w:tcPr>
            <w:tcW w:type="dxa" w:w="5018"/>
            <w:vAlign w:val="center"/>
          </w:tcPr>
          <w:p>
            <w:pPr>
              <w:spacing w:after="0" w:line="240" w:lineRule="auto"/>
            </w:pPr>
            <w:r/>
            <w:r>
              <w:rPr>
                <w:rFonts w:ascii="Times New Roman" w:hAnsi="Times New Roman"/>
                <w:b w:val="0"/>
                <w:sz w:val="16"/>
              </w:rPr>
              <w:t>Latencia media de inferencia</w:t>
            </w:r>
          </w:p>
        </w:tc>
        <w:tc>
          <w:tcPr>
            <w:tcW w:type="dxa" w:w="5018"/>
            <w:vAlign w:val="center"/>
          </w:tcPr>
          <w:p>
            <w:pPr>
              <w:spacing w:after="0" w:line="240" w:lineRule="auto"/>
            </w:pPr>
            <w:r/>
            <w:r>
              <w:rPr>
                <w:rFonts w:ascii="Times New Roman" w:hAnsi="Times New Roman"/>
                <w:b w:val="0"/>
                <w:sz w:val="16"/>
              </w:rPr>
              <w:t>~120 ms</w:t>
            </w:r>
          </w:p>
        </w:tc>
      </w:tr>
      <w:tr>
        <w:tc>
          <w:tcPr>
            <w:tcW w:type="dxa" w:w="5018"/>
            <w:vAlign w:val="center"/>
          </w:tcPr>
          <w:p>
            <w:pPr>
              <w:spacing w:after="0" w:line="240" w:lineRule="auto"/>
            </w:pPr>
            <w:r/>
            <w:r>
              <w:rPr>
                <w:rFonts w:ascii="Times New Roman" w:hAnsi="Times New Roman"/>
                <w:b w:val="0"/>
                <w:sz w:val="16"/>
              </w:rPr>
              <w:t>Suites de integración</w:t>
            </w:r>
          </w:p>
        </w:tc>
        <w:tc>
          <w:tcPr>
            <w:tcW w:type="dxa" w:w="5018"/>
            <w:vAlign w:val="center"/>
          </w:tcPr>
          <w:p>
            <w:pPr>
              <w:spacing w:after="0" w:line="240" w:lineRule="auto"/>
            </w:pPr>
            <w:r/>
            <w:r>
              <w:rPr>
                <w:rFonts w:ascii="Times New Roman" w:hAnsi="Times New Roman"/>
                <w:b w:val="0"/>
                <w:sz w:val="16"/>
              </w:rPr>
              <w:t>5/5 aprobadas (100 %)</w:t>
            </w:r>
          </w:p>
        </w:tc>
      </w:tr>
    </w:tbl>
    <w:p>
      <w:pPr>
        <w:spacing w:before="0" w:after="60" w:line="240" w:lineRule="auto"/>
      </w:pPr>
      <w:r>
        <w:rPr>
          <w:rFonts w:ascii="Times New Roman" w:hAnsi="Times New Roman"/>
          <w:b w:val="0"/>
          <w:i w:val="0"/>
        </w:rPr>
        <w:t>Las operaciones REST críticas -login, creación de consulta, proxy de matching y reporte administrativo- completaron por debajo del criterio de aceptación de dos segundos. Las suites de integración incluyeron reglas de pertenencia, acceso a subrecursos, funcionalidades, carga documental y validación del contexto de aplicación con Docker y Testcontainers.</w:t>
      </w:r>
    </w:p>
    <w:p>
      <w:commentRangeStart w:id="2"/>
      <w:pPr>
        <w:pStyle w:val="CommentPlaceholder"/>
        <w:spacing w:before="0" w:after="60" w:line="240" w:lineRule="auto"/>
      </w:pPr>
      <w:r>
        <w:rPr>
          <w:rFonts w:ascii="Times New Roman" w:hAnsi="Times New Roman"/>
          <w:b w:val="0"/>
          <w:i w:val="0"/>
        </w:rPr>
        <w:t>[FIGURE PENDING 3: Confusion matrix or class-level metrics for rf-v1 after TP2 tuning / Matriz de confusión o métricas por clase de rf-v1 tras ajuste en TP2]</w:t>
      </w:r>
      <w:commentRangeEnd w:id="2"/>
      <w:r>
        <w:commentReference w:id="2"/>
      </w:r>
    </w:p>
    <w:p>
      <w:pPr>
        <w:keepNext/>
        <w:spacing w:before="80" w:after="60" w:line="240" w:lineRule="auto"/>
        <w:jc w:val="left"/>
      </w:pPr>
      <w:r>
        <w:rPr>
          <w:rFonts w:ascii="Times New Roman" w:hAnsi="Times New Roman"/>
          <w:b/>
          <w:i w:val="0"/>
          <w:sz w:val="20"/>
        </w:rPr>
        <w:t>C. Resultados cualitativos</w:t>
      </w:r>
    </w:p>
    <w:p>
      <w:pPr>
        <w:spacing w:before="0" w:after="60" w:line="240" w:lineRule="auto"/>
      </w:pPr>
      <w:r>
        <w:rPr>
          <w:rFonts w:ascii="Times New Roman" w:hAnsi="Times New Roman"/>
          <w:b w:val="0"/>
          <w:i w:val="0"/>
        </w:rPr>
        <w:t>Las demostraciones de extremo a extremo confirmaron navegación por rol, registro de consultas, recomendaciones explicables, persistencia de salidas del modelo, carga/descarga documental, visibilidad de timeline y advertencias explícitas sobre soporte asistido por IA. Estas observaciones respaldan la factibilidad de un piloto académico simulado en la Clínica SANNA “El Golf”.</w:t>
      </w:r>
    </w:p>
    <w:p>
      <w:pPr>
        <w:keepNext/>
        <w:spacing w:before="80" w:after="60" w:line="240" w:lineRule="auto"/>
        <w:jc w:val="left"/>
      </w:pPr>
      <w:r>
        <w:rPr>
          <w:rFonts w:ascii="Times New Roman" w:hAnsi="Times New Roman"/>
          <w:b/>
          <w:i w:val="0"/>
          <w:sz w:val="20"/>
        </w:rPr>
        <w:t>D. Discusión</w:t>
      </w:r>
    </w:p>
    <w:p>
      <w:pPr>
        <w:spacing w:before="0" w:after="60" w:line="240" w:lineRule="auto"/>
      </w:pPr>
      <w:r>
        <w:rPr>
          <w:rFonts w:ascii="Times New Roman" w:hAnsi="Times New Roman"/>
          <w:b w:val="0"/>
          <w:i w:val="0"/>
        </w:rPr>
        <w:t>El F1 macro de 0.6034 es moderado y se ubica por debajo de la meta de 70 % definida para validación posterior. Esto es coherente con una primera iteración del modelo, datos sintéticos y ajuste limitado de hiperparámetros. Por tanto, Sinapsistencia debe defenderse como un flujo de soporte técnicamente viable, no como predictor clínico o legal validado. El resultado más sólido es arquitectónico: la plataforma integra frontend, backend, base de datos, servicio ML, trazabilidad y mecanismos de respaldo con latencia adecuada y pruebas de integración exitosas.</w:t>
      </w:r>
    </w:p>
    <w:p>
      <w:pPr>
        <w:keepNext/>
        <w:spacing w:before="80" w:after="60" w:line="240" w:lineRule="auto"/>
        <w:jc w:val="center"/>
      </w:pPr>
      <w:r>
        <w:rPr>
          <w:rFonts w:ascii="Times New Roman" w:hAnsi="Times New Roman"/>
          <w:b/>
          <w:i w:val="0"/>
          <w:smallCaps/>
          <w:sz w:val="20"/>
        </w:rPr>
        <w:t>VI. CONCLUSIONES Y PERSPECTIVAS</w:t>
      </w:r>
    </w:p>
    <w:p>
      <w:pPr>
        <w:spacing w:before="0" w:after="60" w:line="240" w:lineRule="auto"/>
      </w:pPr>
      <w:r>
        <w:rPr>
          <w:rFonts w:ascii="Times New Roman" w:hAnsi="Times New Roman"/>
          <w:b w:val="0"/>
          <w:i w:val="0"/>
        </w:rPr>
        <w:t>Este artículo presentó Sinapsistencia, una plataforma de mediación médico-legal que integra flujos estructurados, auditabilidad y aprendizaje automático explicable para el sector salud peruano. El sistema acopla bosques aleatorios para puntuación de riesgo y recuperación TF-IDF/similitud del coseno para recomendación de abogados, atendiendo restricciones de arranque en frío y preservando el control humano.</w:t>
      </w:r>
    </w:p>
    <w:p>
      <w:pPr>
        <w:spacing w:before="0" w:after="60" w:line="240" w:lineRule="auto"/>
      </w:pPr>
      <w:r>
        <w:rPr>
          <w:rFonts w:ascii="Times New Roman" w:hAnsi="Times New Roman"/>
          <w:b w:val="0"/>
          <w:i w:val="0"/>
        </w:rPr>
        <w:t>Los resultados demuestran desempeño de clasificación moderado e integración de software exitosa. El trabajo futuro priorizará la validación en TP2: ajuste del modelo y reporte por clase, explicaciones SHAP/LIME, ejecución completa del catálogo de 90 casos de prueba funcionales, despliegue cloud, evaluación de pertinencia top-3 del matching, prueba de usabilidad SUS y comparación As-Is/To-Be del tiempo de acceso a asesoría médico-legal.</w:t>
      </w:r>
    </w:p>
    <w:p>
      <w:pPr>
        <w:keepNext/>
        <w:spacing w:before="80" w:after="60" w:line="240" w:lineRule="auto"/>
        <w:jc w:val="center"/>
      </w:pPr>
      <w:r>
        <w:rPr>
          <w:rFonts w:ascii="Times New Roman" w:hAnsi="Times New Roman"/>
          <w:b/>
          <w:i w:val="0"/>
          <w:smallCaps/>
          <w:sz w:val="20"/>
        </w:rPr>
        <w:t>AGRADECIMIENTOS</w:t>
      </w:r>
    </w:p>
    <w:p>
      <w:pPr>
        <w:spacing w:before="0" w:after="60" w:line="240" w:lineRule="auto"/>
      </w:pPr>
      <w:r>
        <w:rPr>
          <w:rFonts w:ascii="Times New Roman" w:hAnsi="Times New Roman"/>
          <w:b w:val="0"/>
          <w:i w:val="0"/>
        </w:rPr>
        <w:t>Los autores agradecen a la Escuela de Ingeniería de Sistemas y Computación de la Universidad Peruana de Ciencias Aplicadas, a los asesores Jymmy Stuwart Dextre Alarcón y Jorge Enrique Polo Martínez, y a la Clínica SANNA “El Golf” por la colaboración institucional en el contexto del piloto simulado.</w:t>
      </w:r>
    </w:p>
    <w:p>
      <w:pPr>
        <w:keepNext/>
        <w:spacing w:before="80" w:after="60" w:line="240" w:lineRule="auto"/>
        <w:jc w:val="center"/>
      </w:pPr>
      <w:r>
        <w:rPr>
          <w:rFonts w:ascii="Times New Roman" w:hAnsi="Times New Roman"/>
          <w:b/>
          <w:i w:val="0"/>
          <w:smallCaps/>
          <w:sz w:val="20"/>
        </w:rPr>
        <w:t>REFERENCIAS</w:t>
      </w:r>
    </w:p>
    <w:p>
      <w:pPr>
        <w:spacing w:before="0" w:after="20" w:line="240" w:lineRule="auto"/>
      </w:pPr>
      <w:r>
        <w:rPr>
          <w:rFonts w:ascii="Times New Roman" w:hAnsi="Times New Roman"/>
          <w:b w:val="0"/>
          <w:i w:val="0"/>
          <w:sz w:val="16"/>
        </w:rPr>
        <w:t>[1] Superintendencia Nacional de Salud (SUSALUD), “SUSALUD brindó más de 163 mil atenciones sobre derechos en salud durante el 2024,” Gobierno del Perú, Lima, Perú, Jan. 2025. [En línea]. Disponible: https://www.gob.pe/institucion/susalud/noticias/1086686-susalud-brindo-mas-de-163-mil-atenciones-sobre-derechos-en-salud-durante-el-2024</w:t>
      </w:r>
    </w:p>
    <w:p>
      <w:pPr>
        <w:spacing w:before="0" w:after="20" w:line="240" w:lineRule="auto"/>
      </w:pPr>
      <w:r>
        <w:rPr>
          <w:rFonts w:ascii="Times New Roman" w:hAnsi="Times New Roman"/>
          <w:b w:val="0"/>
          <w:i w:val="0"/>
          <w:sz w:val="16"/>
        </w:rPr>
        <w:t>[2] Defensoría del Pueblo del Perú, “Informe Defensorial N.º 243: Supervisión a los Institutos Especializados de Salud de Lima y Regiones,” Lima, Perú, 2025. [En línea]. Disponible: https://www.defensoria.gob.pe/informes/informe-defensorial-n-243/</w:t>
      </w:r>
    </w:p>
    <w:p>
      <w:pPr>
        <w:spacing w:before="0" w:after="20" w:line="240" w:lineRule="auto"/>
      </w:pPr>
      <w:r>
        <w:rPr>
          <w:rFonts w:ascii="Times New Roman" w:hAnsi="Times New Roman"/>
          <w:b w:val="0"/>
          <w:i w:val="0"/>
          <w:sz w:val="16"/>
        </w:rPr>
        <w:t>[3] F. Prieto, A. Lamas, y J. Rodríguez, “Malpractice claims in paediatric surgery: A systematic review of contributing factors,” Journal of Pediatric Surgery, vol. 57, no. 4, pp. 701–708, 2022.</w:t>
      </w:r>
    </w:p>
    <w:p>
      <w:pPr>
        <w:spacing w:before="0" w:after="20" w:line="240" w:lineRule="auto"/>
      </w:pPr>
      <w:r>
        <w:rPr>
          <w:rFonts w:ascii="Times New Roman" w:hAnsi="Times New Roman"/>
          <w:b w:val="0"/>
          <w:i w:val="0"/>
          <w:sz w:val="16"/>
        </w:rPr>
        <w:t>[4] O. Gunenc et al., “Medical malpractice stress syndrome y defensive medicine in obstetricians y gynecologists in Turkey,” International Journal of Clinical Practice, vol. 2024, Art. no. 8226403, 2024.</w:t>
      </w:r>
    </w:p>
    <w:p>
      <w:pPr>
        <w:spacing w:before="0" w:after="20" w:line="240" w:lineRule="auto"/>
      </w:pPr>
      <w:r>
        <w:rPr>
          <w:rFonts w:ascii="Times New Roman" w:hAnsi="Times New Roman"/>
          <w:b w:val="0"/>
          <w:i w:val="0"/>
          <w:sz w:val="16"/>
        </w:rPr>
        <w:t>[5] I. D. Miziara y C. S. M. G. Miziara, “Medical errors, medical negligence y defensive medicine: A narrative review,” Clinics, vol. 77, Art. no. 100053, 2022.</w:t>
      </w:r>
    </w:p>
    <w:p>
      <w:pPr>
        <w:spacing w:before="0" w:after="20" w:line="240" w:lineRule="auto"/>
      </w:pPr>
      <w:r>
        <w:rPr>
          <w:rFonts w:ascii="Times New Roman" w:hAnsi="Times New Roman"/>
          <w:b w:val="0"/>
          <w:i w:val="0"/>
          <w:sz w:val="16"/>
        </w:rPr>
        <w:t>[6] M.-E. Tumelty, “Plaintiff aims in medical negligence disputes: Limitations of an adversarial system,” Medical Law Review, vol. 31, no. 2, pp. 226–246, 2023.</w:t>
      </w:r>
    </w:p>
    <w:p>
      <w:pPr>
        <w:spacing w:before="0" w:after="20" w:line="240" w:lineRule="auto"/>
      </w:pPr>
      <w:r>
        <w:rPr>
          <w:rFonts w:ascii="Times New Roman" w:hAnsi="Times New Roman"/>
          <w:b w:val="0"/>
          <w:i w:val="0"/>
          <w:sz w:val="16"/>
        </w:rPr>
        <w:t>[7] S. P. Rowly, J. E. Fitzgerald, M. Lungren, E. Lee, Z. Harned, y A. H. McGregor, “Digital health technology-specific risks for medical malpractice liability,” npj Digital Medicine, vol. 5, Art. no. 157, 2022.</w:t>
      </w:r>
    </w:p>
    <w:p>
      <w:pPr>
        <w:spacing w:before="0" w:after="20" w:line="240" w:lineRule="auto"/>
      </w:pPr>
      <w:r>
        <w:rPr>
          <w:rFonts w:ascii="Times New Roman" w:hAnsi="Times New Roman"/>
          <w:b w:val="0"/>
          <w:i w:val="0"/>
          <w:sz w:val="16"/>
        </w:rPr>
        <w:t>[8] B. H. Wong, P. D. Parikh, K. C. Miller, y M. R. Zonfrillo, “Emergency department y urgent care medical malpractice claims 2001–15,” Western Journal of Emergency Medicine, vol. 22, no. 2, pp. 333–338, 2021.</w:t>
      </w:r>
    </w:p>
    <w:p>
      <w:pPr>
        <w:spacing w:before="0" w:after="20" w:line="240" w:lineRule="auto"/>
      </w:pPr>
      <w:r>
        <w:rPr>
          <w:rFonts w:ascii="Times New Roman" w:hAnsi="Times New Roman"/>
          <w:b w:val="0"/>
          <w:i w:val="0"/>
          <w:sz w:val="16"/>
        </w:rPr>
        <w:t>[9] Congreso de la República del Perú, “Ley N.º 29733, Ley de Protección de Datos Personales,” El Peruano, Lima, Perú, 2011.</w:t>
      </w:r>
    </w:p>
    <w:p>
      <w:pPr>
        <w:spacing w:before="0" w:after="20" w:line="240" w:lineRule="auto"/>
      </w:pPr>
      <w:r>
        <w:rPr>
          <w:rFonts w:ascii="Times New Roman" w:hAnsi="Times New Roman"/>
          <w:b w:val="0"/>
          <w:i w:val="0"/>
          <w:sz w:val="16"/>
        </w:rPr>
        <w:t>[10] C. Jones, J. Thornton, y J. C. Wyatt, “Artificial intelligence y clinical decision support: Clinicians’ perspectives on trust, trustworthiness, y liability,” Medical Law Review, vol. 31, no. 4, pp. 501–520, 2023.</w:t>
      </w:r>
    </w:p>
    <w:p>
      <w:pPr>
        <w:spacing w:before="0" w:after="20" w:line="240" w:lineRule="auto"/>
      </w:pPr>
      <w:r>
        <w:rPr>
          <w:rFonts w:ascii="Times New Roman" w:hAnsi="Times New Roman"/>
          <w:b w:val="0"/>
          <w:i w:val="0"/>
          <w:sz w:val="16"/>
        </w:rPr>
        <w:t>[11] I. A. Scott, A. van der Vegt, P. Lane, S. McPhail, y F. Magrabi, “Achieving large-scale clinician adoption of AI-enabled decision support,” BMJ Health Care Informatics, vol. 31, Art. no. e100971, 2024.</w:t>
      </w:r>
    </w:p>
    <w:p>
      <w:pPr>
        <w:spacing w:before="0" w:after="20" w:line="240" w:lineRule="auto"/>
      </w:pPr>
      <w:r>
        <w:rPr>
          <w:rFonts w:ascii="Times New Roman" w:hAnsi="Times New Roman"/>
          <w:b w:val="0"/>
          <w:i w:val="0"/>
          <w:sz w:val="16"/>
        </w:rPr>
        <w:t>[12] Eve Legal, “Legal AI software for plaintiff law firms,” 2026. [En línea]. Disponible: https://www.eve.legal/</w:t>
      </w:r>
    </w:p>
    <w:p>
      <w:pPr>
        <w:spacing w:before="0" w:after="20" w:line="240" w:lineRule="auto"/>
      </w:pPr>
      <w:r>
        <w:rPr>
          <w:rFonts w:ascii="Times New Roman" w:hAnsi="Times New Roman"/>
          <w:b w:val="0"/>
          <w:i w:val="0"/>
          <w:sz w:val="16"/>
        </w:rPr>
        <w:t>[13] DigitalOwl, “AI medical record reviews for insurance y legal,” 2026. [En línea]. Disponible: https://www.digitalowl.com/</w:t>
      </w:r>
    </w:p>
    <w:p>
      <w:pPr>
        <w:spacing w:before="0" w:after="20" w:line="240" w:lineRule="auto"/>
      </w:pPr>
      <w:r>
        <w:rPr>
          <w:rFonts w:ascii="Times New Roman" w:hAnsi="Times New Roman"/>
          <w:b w:val="0"/>
          <w:i w:val="0"/>
          <w:sz w:val="16"/>
        </w:rPr>
        <w:t>[14] CloudLex, “Medical malpractice software: Manage PI cases efficiently,” 2026. [En línea]. Disponible: https://www.cloudlex.com/practice-areas/medical-malpractice-law-software/</w:t>
      </w:r>
    </w:p>
    <w:p>
      <w:pPr>
        <w:spacing w:before="0" w:after="20" w:line="240" w:lineRule="auto"/>
      </w:pPr>
      <w:r>
        <w:rPr>
          <w:rFonts w:ascii="Times New Roman" w:hAnsi="Times New Roman"/>
          <w:b w:val="0"/>
          <w:i w:val="0"/>
          <w:sz w:val="16"/>
        </w:rPr>
        <w:t>[15] Legalify, “Plataforma legal digital,” 2026. [En línea]. Disponible: https://legalify.app/</w:t>
      </w:r>
    </w:p>
    <w:p>
      <w:pPr>
        <w:spacing w:before="0" w:after="20" w:line="240" w:lineRule="auto"/>
      </w:pPr>
      <w:r>
        <w:rPr>
          <w:rFonts w:ascii="Times New Roman" w:hAnsi="Times New Roman"/>
          <w:b w:val="0"/>
          <w:i w:val="0"/>
          <w:sz w:val="16"/>
        </w:rPr>
        <w:t>[16] Medical Legal Center, “Líderes en protección médico legal en México,” 2022. [En línea]. Disponible: https://medicallegalcenter.com/</w:t>
      </w:r>
    </w:p>
    <w:p>
      <w:pPr>
        <w:spacing w:before="0" w:after="20" w:line="240" w:lineRule="auto"/>
      </w:pPr>
      <w:r>
        <w:rPr>
          <w:rFonts w:ascii="Times New Roman" w:hAnsi="Times New Roman"/>
          <w:b w:val="0"/>
          <w:i w:val="0"/>
          <w:sz w:val="16"/>
        </w:rPr>
        <w:t>[17] Sociedad Argentina de Gastroenterología, “Asesoramiento médico legal,” 2026. [En línea]. Disponible: https://sage.org.ar/asesoramiento-medico-legal/</w:t>
      </w:r>
    </w:p>
    <w:p>
      <w:pPr>
        <w:spacing w:before="0" w:after="20" w:line="240" w:lineRule="auto"/>
      </w:pPr>
      <w:r>
        <w:rPr>
          <w:rFonts w:ascii="Times New Roman" w:hAnsi="Times New Roman"/>
          <w:b w:val="0"/>
          <w:i w:val="0"/>
          <w:sz w:val="16"/>
        </w:rPr>
        <w:t>[18] D. Ugarte Mostajo, “El deber de información médica y la responsabilidad civil en el Perú,” Revista Derecho y Ciencia Política, vol. 78, no. 1, pp. 45–62, 2024.</w:t>
      </w:r>
    </w:p>
    <w:p>
      <w:pPr>
        <w:spacing w:before="0" w:after="20" w:line="240" w:lineRule="auto"/>
      </w:pPr>
      <w:r>
        <w:rPr>
          <w:rFonts w:ascii="Times New Roman" w:hAnsi="Times New Roman"/>
          <w:b w:val="0"/>
          <w:i w:val="0"/>
          <w:sz w:val="16"/>
        </w:rPr>
        <w:t>[19] L. Wang et al., “Human-centered design y evaluation of AI-empowered clinical decision support systems: A systematic review,” Frontiers in Computer Science, vol. 5, Art. no. 1187299, 2023.</w:t>
      </w:r>
    </w:p>
    <w:p>
      <w:pPr>
        <w:spacing w:before="0" w:after="20" w:line="240" w:lineRule="auto"/>
      </w:pPr>
      <w:r>
        <w:rPr>
          <w:rFonts w:ascii="Times New Roman" w:hAnsi="Times New Roman"/>
          <w:b w:val="0"/>
          <w:i w:val="0"/>
          <w:sz w:val="16"/>
        </w:rPr>
        <w:t>[20] C. D. Manning, P. Raghavan, y H. Schütze, Introduction to Information Retrieval. Cambridge, U.K.: Cambridge University Press, 2008.</w:t>
      </w:r>
    </w:p>
    <w:p>
      <w:pPr>
        <w:spacing w:before="0" w:after="20" w:line="240" w:lineRule="auto"/>
      </w:pPr>
      <w:r>
        <w:rPr>
          <w:rFonts w:ascii="Times New Roman" w:hAnsi="Times New Roman"/>
          <w:b w:val="0"/>
          <w:i w:val="0"/>
          <w:sz w:val="16"/>
        </w:rPr>
        <w:t>[21] F. Ricci, L. Rokach, y B. Shapira, Eds., Recommender Systems Hybook, 2nd ed. New York, NY, USA: Springer, 2015.</w:t>
      </w:r>
    </w:p>
    <w:p>
      <w:pPr>
        <w:spacing w:before="0" w:after="20" w:line="240" w:lineRule="auto"/>
      </w:pPr>
      <w:r>
        <w:rPr>
          <w:rFonts w:ascii="Times New Roman" w:hAnsi="Times New Roman"/>
          <w:b w:val="0"/>
          <w:i w:val="0"/>
          <w:sz w:val="16"/>
        </w:rPr>
        <w:t>[22] C. C. Aggarwal, Recommender Systems: The Textbook. New York, NY, USA: Springer, 2016.</w:t>
      </w:r>
    </w:p>
    <w:p>
      <w:pPr>
        <w:spacing w:before="0" w:after="20" w:line="240" w:lineRule="auto"/>
      </w:pPr>
      <w:r>
        <w:rPr>
          <w:rFonts w:ascii="Times New Roman" w:hAnsi="Times New Roman"/>
          <w:b w:val="0"/>
          <w:i w:val="0"/>
          <w:sz w:val="16"/>
        </w:rPr>
        <w:t>[23] L. Breiman, “Ryom forests,” Machine Learning, vol. 45, no. 1, pp. 5–32, 2001.</w:t>
      </w:r>
    </w:p>
    <w:p>
      <w:pPr>
        <w:spacing w:before="0" w:after="20" w:line="240" w:lineRule="auto"/>
      </w:pPr>
      <w:r>
        <w:rPr>
          <w:rFonts w:ascii="Times New Roman" w:hAnsi="Times New Roman"/>
          <w:b w:val="0"/>
          <w:i w:val="0"/>
          <w:sz w:val="16"/>
        </w:rPr>
        <w:t>[24] S. C. Wongvibulsin, K. C. Wu, y S. L. Zeger, “Clinical risk prediction with Ryom Forests,” BMC Medical Research Methodology, vol. 20, no. 1, Art. no. 1, 2020.</w:t>
      </w:r>
    </w:p>
    <w:p>
      <w:pPr>
        <w:spacing w:before="0" w:after="20" w:line="240" w:lineRule="auto"/>
      </w:pPr>
      <w:r>
        <w:rPr>
          <w:rFonts w:ascii="Times New Roman" w:hAnsi="Times New Roman"/>
          <w:b w:val="0"/>
          <w:i w:val="0"/>
          <w:sz w:val="16"/>
        </w:rPr>
        <w:t>[25] J. E. Wallace, D. A. Blaas, y R. A. Wyatt, “Misuse y abuse of variable importance in Ryom Forest,” PLOS ONE, vol. 18, no. 3, Art. no. e0283994, 2023.</w:t>
      </w:r>
    </w:p>
    <w:p>
      <w:pPr>
        <w:spacing w:before="0" w:after="20" w:line="240" w:lineRule="auto"/>
      </w:pPr>
      <w:r>
        <w:rPr>
          <w:rFonts w:ascii="Times New Roman" w:hAnsi="Times New Roman"/>
          <w:b w:val="0"/>
          <w:i w:val="0"/>
          <w:sz w:val="16"/>
        </w:rPr>
        <w:t>[26] S. M. Lundberg y S.-I. Lee, “A unified approach to interpreting model predictions,” in Proc. NIPS, vol. 30, 2017, pp. 4765–4774.</w:t>
      </w:r>
    </w:p>
    <w:p>
      <w:pPr>
        <w:spacing w:before="0" w:after="20" w:line="240" w:lineRule="auto"/>
      </w:pPr>
      <w:r>
        <w:rPr>
          <w:rFonts w:ascii="Times New Roman" w:hAnsi="Times New Roman"/>
          <w:b w:val="0"/>
          <w:i w:val="0"/>
          <w:sz w:val="16"/>
        </w:rPr>
        <w:t>[27] M. T. Ribeiro, S. Singh, y C. Guestrin, “‘Why should I trust you?’: Explaining the predictions of any classifier,” in Proc. 22nd ACM SIGKDD, 2016, pp. 1135–1144.</w:t>
      </w:r>
    </w:p>
    <w:p>
      <w:pPr>
        <w:spacing w:before="0" w:after="20" w:line="240" w:lineRule="auto"/>
      </w:pPr>
      <w:r>
        <w:rPr>
          <w:rFonts w:ascii="Times New Roman" w:hAnsi="Times New Roman"/>
          <w:b w:val="0"/>
          <w:i w:val="0"/>
          <w:sz w:val="16"/>
        </w:rPr>
        <w:t>[28] T. Mikolov, I. Sutskever, K. Chen, G. Corrado, y J. Dean, “Distributed representations of words y phrases y their compositionality,” in Proc. NIPS, vol. 26, 2013, pp. 3111–3119.</w:t>
      </w:r>
    </w:p>
    <w:p>
      <w:pPr>
        <w:spacing w:before="0" w:after="20" w:line="240" w:lineRule="auto"/>
      </w:pPr>
      <w:r>
        <w:rPr>
          <w:rFonts w:ascii="Times New Roman" w:hAnsi="Times New Roman"/>
          <w:b w:val="0"/>
          <w:i w:val="0"/>
          <w:sz w:val="16"/>
        </w:rPr>
        <w:t>[29] J. Brooke, “SUS: A ‘quick y dirty’ usability scale,” in Usability Evaluation in Industry, P. W. Jordan et al., Eds. London, U.K.: Taylor &amp; Francis, 1996, pp. 189–194.</w:t>
      </w:r>
    </w:p>
    <w:sectPr w:rsidR="00FC693F" w:rsidRPr="0006063C" w:rsidSect="00034616">
      <w:type w:val="continuous"/>
      <w:pgSz w:w="11906" w:h="16838"/>
      <w:pgMar w:top="1020" w:right="935" w:bottom="1020" w:left="935" w:header="720" w:footer="720" w:gutter="0"/>
      <w:cols w:space="720" w:num="2"/>
      <w:docGrid w:linePitch="360"/>
    </w:sectPr>
  </w:body>
</w:document>
</file>

<file path=word/comments.xml><?xml version="1.0" encoding="utf-8"?>
<w:comments xmlns:w="http://schemas.openxmlformats.org/wordprocessingml/2006/main">
  <w:comment w:id="0" w:author="Asesor de Tesis" w:date="2026-06-26T17:09:09Z">
    <w:p>
      <w:r>
        <w:t>Insertar el diagrama final de arquitectura por capas. Debe mostrar Angular, Spring Boot, servicio ML FastAPI, PostgreSQL, almacenamiento documental, roles y registro de auditoría.</w:t>
      </w:r>
    </w:p>
  </w:comment>
  <w:comment w:id="1" w:author="Asesor de Tesis" w:date="2026-06-26T17:09:09Z">
    <w:p>
      <w:r>
        <w:t>Insertar un diagrama simple del flujo de evaluación de riesgo y recomendación: registro de consulta, extracción de variables, Random Forest, TF-IDF/similitud del coseno, persistencia y salida explicable.</w:t>
      </w:r>
    </w:p>
  </w:comment>
  <w:comment w:id="2" w:author="Asesor de Tesis" w:date="2026-06-26T17:09:09Z">
    <w:p>
      <w:r>
        <w:t>Insertar matriz de confusión o métricas por clase después del ajuste en TP2. Si no está disponible antes del envío, mantener la Tabla II y declarar la limitación.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entPlaceholder">
    <w:name w:val="Comment Placeholder"/>
    <w:rPr>
      <w:rFonts w:ascii="Times New Roman" w:hAnsi="Times New Roman"/>
      <w:i/>
      <w:color w:val="C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