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Reportalo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Plataforma de Auditoría Ciudadana</w:t>
      </w:r>
    </w:p>
    <w:p>
      <w:pPr>
        <w:spacing w:after="140"/>
      </w:pPr>
      <w:r>
        <w:rPr>
          <w:b/>
          <w:bCs/>
          <w:sz w:val="28"/>
          <w:szCs w:val="28"/>
        </w:rPr>
        <w:t xml:space="preserve">DEVOLUCIÓN — RESPUESTA A LA VERIFICACIÓN DEL DESPLIEGUE DEL RAG (V-01 A V-13)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Versión 1.0 · 14 de septiembre de 2026 · Construcción · Proyecto RAR-2026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Responde a: </w:t>
      </w:r>
      <w:hyperlink w:history="1" r:id="rIdylq6pdcpgvswhojauuetw">
        <w:r>
          <w:rPr>
            <w:rStyle w:val="Hyperlink"/>
            <w:color w:val="1155CC"/>
            <w:u w:val="single"/>
          </w:rPr>
          <w:t xml:space="preserve">REP-DEPLOY-RAG-SUPABASE_devolucion_y_verificacion.md (Hernán, 14/09)</w:t>
        </w:r>
      </w:hyperlink>
    </w:p>
    <w:p>
      <w:pPr>
        <w:spacing w:after="160"/>
      </w:pPr>
      <w:r>
        <w:rPr>
          <w:b/>
          <w:bCs/>
          <w:sz w:val="20"/>
          <w:szCs w:val="20"/>
        </w:rPr>
        <w:t xml:space="preserve">Jira: </w:t>
      </w:r>
      <w:hyperlink w:history="1" r:id="rId2bscraswvh3p8-wufbnld">
        <w:r>
          <w:rPr>
            <w:rStyle w:val="Hyperlink"/>
            <w:color w:val="1155CC"/>
            <w:u w:val="single"/>
          </w:rPr>
          <w:t xml:space="preserve">REP-2908</w:t>
        </w:r>
      </w:hyperlink>
      <w:r>
        <w:rPr>
          <w:sz w:val="20"/>
          <w:szCs w:val="20"/>
        </w:rPr>
        <w:t xml:space="preserve"> · </w:t>
      </w:r>
      <w:hyperlink w:history="1" r:id="rIdkbkmjly84bmo2m1p2d1py">
        <w:r>
          <w:rPr>
            <w:rStyle w:val="Hyperlink"/>
            <w:color w:val="1155CC"/>
            <w:u w:val="single"/>
          </w:rPr>
          <w:t xml:space="preserve">REP-3772</w:t>
        </w:r>
      </w:hyperlink>
      <w:r>
        <w:rPr>
          <w:sz w:val="20"/>
          <w:szCs w:val="20"/>
        </w:rPr>
        <w:t xml:space="preserve"> · </w:t>
      </w:r>
      <w:hyperlink w:history="1" r:id="rIdrdj7lskoinwdepdgf5zbo">
        <w:r>
          <w:rPr>
            <w:rStyle w:val="Hyperlink"/>
            <w:color w:val="1155CC"/>
            <w:u w:val="single"/>
          </w:rPr>
          <w:t xml:space="preserve">REP-3773</w:t>
        </w:r>
      </w:hyperlink>
      <w:r>
        <w:rPr>
          <w:sz w:val="20"/>
          <w:szCs w:val="20"/>
        </w:rPr>
        <w:t xml:space="preserve"> · </w:t>
      </w:r>
      <w:hyperlink w:history="1" r:id="rIdj9b6xivr1lqnodnuiezzs">
        <w:r>
          <w:rPr>
            <w:rStyle w:val="Hyperlink"/>
            <w:color w:val="1155CC"/>
            <w:u w:val="single"/>
          </w:rPr>
          <w:t xml:space="preserve">REP-3775</w:t>
        </w:r>
      </w:hyperlink>
      <w:r>
        <w:rPr>
          <w:sz w:val="20"/>
          <w:szCs w:val="20"/>
        </w:rPr>
        <w:t xml:space="preserve"> · </w:t>
      </w:r>
      <w:hyperlink w:history="1" r:id="rId5czpaecpmpmd0zcetqtbd">
        <w:r>
          <w:rPr>
            <w:rStyle w:val="Hyperlink"/>
            <w:color w:val="1155CC"/>
            <w:u w:val="single"/>
          </w:rPr>
          <w:t xml:space="preserve">REP-3776</w:t>
        </w:r>
      </w:hyperlink>
      <w:r>
        <w:rPr>
          <w:sz w:val="20"/>
          <w:szCs w:val="20"/>
        </w:rPr>
        <w:t xml:space="preserve"> · </w:t>
      </w:r>
      <w:hyperlink w:history="1" r:id="rId0dlns0adjz8o0sne8j3yn">
        <w:r>
          <w:rPr>
            <w:rStyle w:val="Hyperlink"/>
            <w:color w:val="1155CC"/>
            <w:u w:val="single"/>
          </w:rPr>
          <w:t xml:space="preserve">REP-3777</w:t>
        </w:r>
      </w:hyperlink>
      <w:r>
        <w:rPr>
          <w:sz w:val="20"/>
          <w:szCs w:val="20"/>
        </w:rPr>
        <w:t xml:space="preserve"> · </w:t>
      </w:r>
      <w:hyperlink w:history="1" r:id="rIdpnnjgpyoo0-1l_83ww3rp">
        <w:r>
          <w:rPr>
            <w:rStyle w:val="Hyperlink"/>
            <w:color w:val="1155CC"/>
            <w:u w:val="single"/>
          </w:rPr>
          <w:t xml:space="preserve">REP-2909</w:t>
        </w:r>
      </w:hyperlink>
    </w:p>
    <w:p>
      <w:pPr>
        <w:spacing w:after="100"/>
      </w:pPr>
      <w:r>
        <w:rPr>
          <w:b/>
          <w:bCs/>
          <w:sz w:val="20"/>
          <w:szCs w:val="20"/>
        </w:rPr>
        <w:t xml:space="preserve">Equipo: </w:t>
      </w:r>
      <w:r>
        <w:rPr>
          <w:sz w:val="20"/>
          <w:szCs w:val="20"/>
        </w:rPr>
        <w:t xml:space="preserve">Hernán Gregorini (PO · DBA) · Leonel Nuñez (PM / Scrum Master) · Matías Krepchuk (Líder Técnico · UX/UI) · Iván Juárez (QA · UX/UI)</w:t>
      </w:r>
    </w:p>
    <w:p>
      <w:pPr>
        <w:spacing w:after="220"/>
      </w:pPr>
      <w:r>
        <w:rPr>
          <w:b/>
          <w:bCs/>
          <w:sz w:val="20"/>
          <w:szCs w:val="20"/>
        </w:rPr>
        <w:t xml:space="preserve">Consultor Especialista: </w:t>
      </w:r>
      <w:r>
        <w:rPr>
          <w:sz w:val="20"/>
          <w:szCs w:val="20"/>
        </w:rPr>
        <w:t xml:space="preserve">Carlos Ruiz (auditor externo · asesoría metodológica)</w:t>
      </w: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Propósito. </w:t>
      </w:r>
      <w:r>
        <w:rPr>
          <w:sz w:val="21"/>
          <w:szCs w:val="21"/>
        </w:rPr>
        <w:t xml:space="preserve">Responder punto por punto a los V-01 a V-13 del documento de devolución de Hernán: qué se corrigió, con qué evidencia, y qué queda abierto todavía.</w:t>
      </w:r>
    </w:p>
    <w:p>
      <w:pPr>
        <w:pStyle w:val="Heading1"/>
        <w:spacing w:after="120" w:before="260"/>
      </w:pPr>
      <w:r>
        <w:t xml:space="preserve">1. Resumen de estado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400"/>
        <w:gridCol w:w="4250"/>
      </w:tblGrid>
      <w:tr>
        <w:tc>
          <w:tcPr>
            <w:tcW w:type="dxa" w:w="7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42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Clave service_role filtrada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V-02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con datos reales fuera de Git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Hallazgos de seguridad heredados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V-04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 real de la base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V-05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Migraciones y Pull Request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V-06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Mismo embedding en script y Edge Function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iniciado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V-07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Prueba de punta a punta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V-08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Límite de reintentos y alerta de presupuesto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iniciado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V-09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Casos A–F repetidos 5 veces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iniciado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V-10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 A: Constitución PBA 192.4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Decisión de Hernán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V-11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de generación y parámetros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iniciado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V-12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clave de Gemini en el frontend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V-13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en Jira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Pendiente (Matías)</w:t>
            </w:r>
          </w:p>
        </w:tc>
      </w:tr>
    </w:tbl>
    <w:p>
      <w:pPr>
        <w:spacing w:after="200"/>
      </w:pPr>
    </w:p>
    <w:p>
      <w:pPr>
        <w:pStyle w:val="Heading1"/>
        <w:spacing w:after="120" w:before="260"/>
      </w:pPr>
      <w:r>
        <w:t xml:space="preserve">2. Detalle por punto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V-01 · Clave service_role filtrada — Cerrado</w:t>
      </w:r>
    </w:p>
    <w:p>
      <w:pPr>
        <w:spacing w:after="150"/>
      </w:pPr>
      <w:r>
        <w:rPr>
          <w:sz w:val="21"/>
          <w:szCs w:val="21"/>
        </w:rPr>
        <w:t xml:space="preserve">Confirmado el hallazgo, con un matiz: la clave no vivía en el código de una función (pg_proc, que es donde busca la Consulta 1 del documento original), sino en la definición del trigger audit_ia (pg_trigger, embebida en la llamada a supabase_functions.http_request). La Consulta 1 tal como está escrita no la detecta — se recomienda ampliarla para incluir pg_get_triggerdef.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Trigger audit_ia desactivado sin borrar (tabla infractions, 0 filas — heredada, sin uso).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Clave service_role rotada desde el panel de Supabase: migrada al esquema moderno de secret keys (sb_secret_...), claves legacy basadas en JWT deshabilitadas.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Secreto de Vault rag_service_role_key actualizado con la clave nueva.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Verificado que el sitio en producción sigue funcionando con la clave anon/publishable actual.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Verificado con V-07 que el pipeline funciona de punta a punta con la clave nueva.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V-02 · Backup con datos reales fuera de Git — Parcial</w:t>
      </w:r>
    </w:p>
    <w:p>
      <w:pPr>
        <w:spacing w:after="150"/>
      </w:pPr>
      <w:r>
        <w:rPr>
          <w:sz w:val="21"/>
          <w:szCs w:val="21"/>
        </w:rPr>
        <w:t xml:space="preserve">Confirmado: supabase/backups/2026-09-14_pre-deploy-rag/ (commit f17e512) ya está pusheado y mergeado en staging — no llegamos a tiempo de avisar antes del push.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Revisado el contenido del backup commiteado: no contiene el JWT filtrado de audit_ia, pero sí datos reales de 44 tablas.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 agregó supabase/backups/ al .gitignore para que no vuelva a pasar.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Pendiente de decisión conjunta: limpiar el historial de staging (requiere coordinar con quien tenga la rama clonada) o aceptar el riesgo dado que la clave especifica no viajó por ese archivo.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V-03 · Hallazgos de seguridad que ya existían — Parcial</w:t>
      </w:r>
    </w:p>
    <w:p>
      <w:pPr>
        <w:spacing w:after="150"/>
      </w:pPr>
      <w:r>
        <w:rPr>
          <w:sz w:val="21"/>
          <w:szCs w:val="21"/>
        </w:rPr>
        <w:t xml:space="preserve">Corrido el Security Advisor completo y las tres consultas pedidas: 0 tablas sin RLS. 17 tablas con RLS habilitado sin ninguna política (deny total, no hueco) — mayoría de solo lectura server-side; falta que Hernán confirme cuáles son intencionales. Políticas de report_ai_analysis/report_ai_evidence correctas (criterio REP-2909 ya aplicado).</w:t>
      </w: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Hallazgo nuevo, no listado en el documento original. </w:t>
      </w:r>
      <w:r>
        <w:rPr>
          <w:sz w:val="21"/>
          <w:szCs w:val="21"/>
        </w:rPr>
        <w:t xml:space="preserve">dispatch_rag_analysis_queue y enqueue_rag_analysis (SECURITY DEFINER) eran ejecutables vía /rest/v1/rpc/... por los roles anon y authenticated — cualquiera podía disparar el pipeline de análisis y generar costo real de Gemini sin pasar por un reporte real. Corregido: revocado EXECUTE de PUBLIC y de authenticated. Verificado que el disparo interno (trigger + cron) sigue funcionando.</w:t>
      </w:r>
    </w:p>
    <w:p>
      <w:pPr>
        <w:spacing w:after="150"/>
      </w:pPr>
      <w:r>
        <w:rPr>
          <w:sz w:val="21"/>
          <w:szCs w:val="21"/>
        </w:rPr>
        <w:t xml:space="preserve">Pendientes menores (WARN, no bloqueantes): 10 funciones sin search_path fijo, extensión vector instalada en public, protección de contraseñas filtradas desactivada en Auth.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V-04 · Estado real de la base — Parcial</w:t>
      </w:r>
    </w:p>
    <w:p>
      <w:pPr>
        <w:spacing w:after="150"/>
      </w:pPr>
      <w:r>
        <w:rPr>
          <w:sz w:val="21"/>
          <w:szCs w:val="21"/>
        </w:rPr>
        <w:t xml:space="preserve">Corrida la PARTE 8 completa de REP-3769_seed_y_RAG.sql: todo OK salvo tres filas en REVISAR — profiles (5 de 6), citizen_reports (0 de 8) y report_state_history (0 de 18). Los 5 perfiles existentes son cuentas reales del equipo, no el seed demo: confirma que ciudadano.demo y los 8 reportes demo nunca se recargaron tras el incidente de borrado de sesiones anteriores.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PARTE 5B/6 presentes (report_events, profile_attends_report, mark_report_viewed, source_adhesions, generation_models, etc.).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Las 15 huellas md5 del corpus coinciden exactamente con las esperadas.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Cascada jurisdiccional correcta: Piñeyro (BA) recibe la Ley 24.449, Retiro (CABA) no la recibe, Avellaneda (Santa Fe) no recibe nada.</w:t>
      </w:r>
    </w:p>
    <w:p>
      <w:pPr>
        <w:spacing w:after="150"/>
      </w:pPr>
      <w:r>
        <w:rPr>
          <w:sz w:val="21"/>
          <w:szCs w:val="21"/>
        </w:rPr>
        <w:t xml:space="preserve">Pendiente de decisión: si se recargan los seeds demo (dispara 8 análisis reales de Gemini, costo bajo, sirve además como evidencia adicional de V-07).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V-05 · Migraciones y Pull Request — Parcial</w:t>
      </w:r>
    </w:p>
    <w:p>
      <w:pPr>
        <w:spacing w:after="150"/>
      </w:pPr>
      <w:r>
        <w:rPr>
          <w:sz w:val="21"/>
          <w:szCs w:val="21"/>
        </w:rPr>
        <w:t xml:space="preserve">Se leyó el historial interno real de Supabase (supabase_migrations.schema_migrations) y se versionaron como archivos en supabase/migrations/ el SQL exacto y los timestamps reales de cada cambio aplicado a mano durante el despliegue original: extensiones, RLS de report_ai_analysis/evidence, secreto de Vault con la URL de la Edge Function, pipeline asíncrono completo, corrección del cron, RLS de report_images, y las correcciones de V-01/V-03.</w:t>
      </w: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Hallazgo nuevo, no documentado en ningún lado hasta ahora. </w:t>
      </w:r>
      <w:r>
        <w:rPr>
          <w:sz w:val="21"/>
          <w:szCs w:val="21"/>
        </w:rPr>
        <w:t xml:space="preserve">el esquema pgmq no está expuesto en la API de datos de Supabase, así que el borrado de mensajes procesados desde la Edge Function fallaba silenciosamente y los reprocesaba cada minuto para siempre. Ya estaba resuelto con un wrapper, pero nunca se había versionado ni documentado.</w:t>
      </w:r>
    </w:p>
    <w:p>
      <w:pPr>
        <w:spacing w:after="150"/>
      </w:pPr>
      <w:r>
        <w:rPr>
          <w:sz w:val="21"/>
          <w:szCs w:val="21"/>
        </w:rPr>
        <w:t xml:space="preserve">Excluido a propósito, según el documento original: los 3 backfills de embeddings (se documenta el comando para regenerarlos) y el valor de la clave rag_service_role_key.</w:t>
      </w:r>
    </w:p>
    <w:p>
      <w:pPr>
        <w:spacing w:after="150"/>
      </w:pPr>
      <w:r>
        <w:rPr>
          <w:sz w:val="21"/>
          <w:szCs w:val="21"/>
        </w:rPr>
        <w:t xml:space="preserve">Pendiente: abrir el Pull Request. El documento original dice contra develop, rama que no existe en este repositorio — la base real de todo el trabajo de Sprint 12 fue siempre staging.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V-06 · Mismo embedding en script y Edge Function — No iniciado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V-07 · Prueba de punta a punta — Cerrado</w:t>
      </w:r>
    </w:p>
    <w:p>
      <w:pPr>
        <w:spacing w:after="150"/>
      </w:pPr>
      <w:r>
        <w:rPr>
          <w:sz w:val="21"/>
          <w:szCs w:val="21"/>
        </w:rPr>
        <w:t xml:space="preserve">El script exacto del documento no pudo correr tal cual (no existe el perfil ciudadano.demo) — se adaptó usando un perfil real del equipo, con OK explícito de Matías antes del insert.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Paso</w:t>
            </w:r>
          </w:p>
        </w:tc>
        <w:tc>
          <w:tcPr>
            <w:tcW w:type="dxa" w:w="61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 del reporte de prueba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23:51:48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report_ai_analysis creado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23:52:03 (~15 segundos)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Cola pgmq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Vacía — procesado y removido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fundamentado, is_infraction: true, confidence_score: 0.98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report_ai_evidence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fragmentos recuperados, todos de CABA (cero de la Ley 24.449)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Citas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citadas, ambas literales sobre rampas para discapacitados — coincide con el reporte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sz w:val="21"/>
          <w:szCs w:val="21"/>
        </w:rPr>
        <w:t xml:space="preserve">Corrido íntegramente con la clave service_role nueva (post-rotación de V-01). El reporte de prueba queda en la base como evidencia, no se borró.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V-08 · Límite de reintentos y alerta de presupuesto — No iniciado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V-09 · Casos A–F repetidos 5 veces — No iniciado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V-10 · Caso A, Constitución PBA 192.4 — decisión de Hernán</w:t>
      </w:r>
    </w:p>
    <w:p>
      <w:pPr>
        <w:spacing w:after="150"/>
      </w:pPr>
      <w:r>
        <w:rPr>
          <w:sz w:val="21"/>
          <w:szCs w:val="21"/>
        </w:rPr>
        <w:t xml:space="preserve">Sin cambios de nuestro lado — a definir en REP-3773 según indica el documento original.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V-11 · Modelo de generación y parámetros — No iniciado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V-12 · Sin clave de Gemini en el frontend — Cerrado</w:t>
      </w:r>
    </w:p>
    <w:p>
      <w:pPr>
        <w:spacing w:after="150"/>
      </w:pPr>
      <w:r>
        <w:rPr>
          <w:sz w:val="21"/>
          <w:szCs w:val="21"/>
        </w:rPr>
        <w:t xml:space="preserve">legalRagService.js/geminiClient.js no tienen ningún import real desde páginas o componentes (solo desde tests). Se corrió pnpm run build y se grepeó dist/: cero coincidencias de claves ni código del cliente — eliminados por tree-shaking.</w:t>
      </w:r>
    </w:p>
    <w:p>
      <w:pPr>
        <w:spacing w:after="90" w:before="220"/>
      </w:pPr>
      <w:r>
        <w:rPr>
          <w:b/>
          <w:bCs/>
          <w:sz w:val="23"/>
          <w:szCs w:val="23"/>
        </w:rPr>
        <w:t xml:space="preserve">V-13 · Registro en Jira — Pendiente</w:t>
      </w:r>
    </w:p>
    <w:p>
      <w:pPr>
        <w:spacing w:after="150"/>
      </w:pPr>
      <w:r>
        <w:rPr>
          <w:sz w:val="21"/>
          <w:szCs w:val="21"/>
        </w:rPr>
        <w:t xml:space="preserve">Queda para Matías comentar en REP-2908 con el resumen de este documento — no se tocó Jira directamente en ningún momento de este trabajo.</w:t>
      </w:r>
    </w:p>
    <w:p>
      <w:pPr>
        <w:pStyle w:val="Heading1"/>
        <w:spacing w:after="120" w:before="260"/>
      </w:pPr>
      <w:r>
        <w:t xml:space="preserve">3. Preguntas del documento original — lo que podemos responder ahora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Pregunta de Hernán</w:t>
            </w:r>
          </w:p>
        </w:tc>
        <w:tc>
          <w:tcPr>
            <w:tcW w:type="dxa" w:w="51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¿Se recargaron los seeds de REP-3605?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— confirmado en V-04. Pendiente de decisión conjunta.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¿trg_enqueue_rag_analysis se dispara solo al insertar o también al actualizar?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Solo al insertar (after insert on citizen_reports) — confirmado en el código versionado.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¿La versión de profile_attends_report es la de la PARTE 5B o una propia?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Existe y responde a la firma esperada; no se comparó el cuerpo contra la PARTE 5B línea por línea.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¿Las invocaciones manuales con curl guardaron filas en report_ai_analysis?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verificado en este trabajo — requiere revisión aparte.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¿Qué pasó con la clave de Gemini regenerada?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investigado en este trabajo — lo responde Matías directamente.</w:t>
            </w:r>
          </w:p>
        </w:tc>
      </w:tr>
    </w:tbl>
    <w:p>
      <w:pPr>
        <w:spacing w:after="200"/>
      </w:pPr>
    </w:p>
    <w:p>
      <w:pPr>
        <w:pStyle w:val="Heading1"/>
        <w:spacing w:after="120" w:before="260"/>
      </w:pPr>
      <w:r>
        <w:t xml:space="preserve">4. Próximos pasos sugeridos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Decidir V-02 (historial de git) y V-04 (recarga de seeds demo) — bloquean el cierre formal de esos puntos.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Abrir el Pull Request de V-05 contra staging una vez autorizado.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Encarar V-08 (límite de reintentos/presupuesto) antes del cierre del Sprint 12 — es P1 y todavía no se tocó.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V-06, V-09, V-11 y V-13 quedan para una siguiente pasada, con prioridad P2 salvo indicación contraria.</w:t>
      </w:r>
    </w:p>
    <w:p>
      <w:pPr>
        <w:spacing w:before="200"/>
      </w:pPr>
    </w:p>
    <w:p>
      <w:r>
        <w:rPr>
          <w:b/>
          <w:bCs/>
          <w:sz w:val="20"/>
          <w:szCs w:val="20"/>
        </w:rPr>
        <w:t xml:space="preserve">Documentos relacionados: </w:t>
      </w:r>
      <w:hyperlink w:history="1" r:id="rIdpb0avhohedzuxz3cvpy0k">
        <w:r>
          <w:rPr>
            <w:rStyle w:val="Hyperlink"/>
            <w:color w:val="1155CC"/>
            <w:u w:val="single"/>
          </w:rPr>
          <w:t xml:space="preserve">REP-DEPLOY-RAG-SUPABASE_devolucion_y_verificacion.md</w:t>
        </w:r>
      </w:hyperlink>
      <w:r>
        <w:rPr>
          <w:sz w:val="20"/>
          <w:szCs w:val="20"/>
        </w:rPr>
        <w:t xml:space="preserve"> · </w:t>
      </w:r>
      <w:hyperlink w:history="1" r:id="rIdojmj_g1hv22onsfbgsugw">
        <w:r>
          <w:rPr>
            <w:rStyle w:val="Hyperlink"/>
            <w:color w:val="1155CC"/>
            <w:u w:val="single"/>
          </w:rPr>
          <w:t xml:space="preserve">REP-2908</w:t>
        </w:r>
      </w:hyperlink>
      <w:r>
        <w:rPr>
          <w:sz w:val="20"/>
          <w:szCs w:val="20"/>
        </w:rPr>
        <w:t xml:space="preserve"> · </w:t>
      </w:r>
      <w:hyperlink w:history="1" r:id="rId5ooz_vvbbcjpltk065ipj">
        <w:r>
          <w:rPr>
            <w:rStyle w:val="Hyperlink"/>
            <w:color w:val="1155CC"/>
            <w:u w:val="single"/>
          </w:rPr>
          <w:t xml:space="preserve">REP-2909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lq6pdcpgvswhojauuetw" Type="http://schemas.openxmlformats.org/officeDocument/2006/relationships/hyperlink" Target="https://unlz2026.atlassian.net/browse/REP-2908" TargetMode="External"/><Relationship Id="rId2bscraswvh3p8-wufbnld" Type="http://schemas.openxmlformats.org/officeDocument/2006/relationships/hyperlink" Target="https://unlz2026.atlassian.net/browse/REP-2908" TargetMode="External"/><Relationship Id="rIdkbkmjly84bmo2m1p2d1py" Type="http://schemas.openxmlformats.org/officeDocument/2006/relationships/hyperlink" Target="https://unlz2026.atlassian.net/browse/REP-3772" TargetMode="External"/><Relationship Id="rIdrdj7lskoinwdepdgf5zbo" Type="http://schemas.openxmlformats.org/officeDocument/2006/relationships/hyperlink" Target="https://unlz2026.atlassian.net/browse/REP-3773" TargetMode="External"/><Relationship Id="rIdj9b6xivr1lqnodnuiezzs" Type="http://schemas.openxmlformats.org/officeDocument/2006/relationships/hyperlink" Target="https://unlz2026.atlassian.net/browse/REP-3775" TargetMode="External"/><Relationship Id="rId5czpaecpmpmd0zcetqtbd" Type="http://schemas.openxmlformats.org/officeDocument/2006/relationships/hyperlink" Target="https://unlz2026.atlassian.net/browse/REP-3776" TargetMode="External"/><Relationship Id="rId0dlns0adjz8o0sne8j3yn" Type="http://schemas.openxmlformats.org/officeDocument/2006/relationships/hyperlink" Target="https://unlz2026.atlassian.net/browse/REP-3777" TargetMode="External"/><Relationship Id="rIdpnnjgpyoo0-1l_83ww3rp" Type="http://schemas.openxmlformats.org/officeDocument/2006/relationships/hyperlink" Target="https://unlz2026.atlassian.net/browse/REP-2909" TargetMode="External"/><Relationship Id="rIdpb0avhohedzuxz3cvpy0k" Type="http://schemas.openxmlformats.org/officeDocument/2006/relationships/hyperlink" Target="https://unlz2026.atlassian.net/browse/REP-2908" TargetMode="External"/><Relationship Id="rIdojmj_g1hv22onsfbgsugw" Type="http://schemas.openxmlformats.org/officeDocument/2006/relationships/hyperlink" Target="https://unlz2026.atlassian.net/browse/REP-2908" TargetMode="External"/><Relationship Id="rId5ooz_vvbbcjpltk065ipj" Type="http://schemas.openxmlformats.org/officeDocument/2006/relationships/hyperlink" Target="https://unlz2026.atlassian.net/browse/REP-2909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2026-09-15T00:13:39.796Z</dcterms:created>
  <dcterms:modified xsi:type="dcterms:W3CDTF">2026-09-15T00:13:39.797Z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