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Reportalo</w:t>
      </w:r>
    </w:p>
    <w:p>
      <w:pPr>
        <w:spacing w:after="240"/>
      </w:pPr>
      <w:r>
        <w:rPr>
          <w:i/>
          <w:iCs/>
          <w:color w:val="555555"/>
          <w:sz w:val="22"/>
          <w:szCs w:val="22"/>
        </w:rPr>
        <w:t xml:space="preserve">Plataforma de Auditoría Ciudadana</w:t>
      </w:r>
    </w:p>
    <w:p>
      <w:pPr>
        <w:spacing w:after="140"/>
      </w:pPr>
      <w:r>
        <w:rPr>
          <w:b/>
          <w:bCs/>
          <w:sz w:val="28"/>
          <w:szCs w:val="28"/>
        </w:rPr>
        <w:t xml:space="preserve">DEVOLUCIÓN — RESPUESTA A LA VERIFICACIÓN DEL DESPLIEGUE DEL RAG (V-01 A V-13)</w:t>
      </w:r>
    </w:p>
    <w:p>
      <w:pPr>
        <w:spacing w:after="150"/>
      </w:pPr>
      <w:r>
        <w:rPr>
          <w:b/>
          <w:bCs/>
          <w:sz w:val="20"/>
          <w:szCs w:val="20"/>
        </w:rPr>
        <w:t xml:space="preserve">Versión 1.1 · 15 de septiembre de 2026 · Construcción · Proyecto RAR-2026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Responde a: </w:t>
      </w:r>
      <w:hyperlink w:history="1" r:id="rIdbvr5mw5hsf9e0v3cpnyzh">
        <w:r>
          <w:rPr>
            <w:rStyle w:val="Hyperlink"/>
            <w:color w:val="1155CC"/>
            <w:u w:val="single"/>
          </w:rPr>
          <w:t xml:space="preserve">REP-DEPLOY-RAG-SUPABASE_devolucion_y_verificacion.md (Hernán, 14/09)</w:t>
        </w:r>
      </w:hyperlink>
    </w:p>
    <w:p>
      <w:pPr>
        <w:spacing w:after="160"/>
      </w:pPr>
      <w:r>
        <w:rPr>
          <w:b/>
          <w:bCs/>
          <w:sz w:val="20"/>
          <w:szCs w:val="20"/>
        </w:rPr>
        <w:t xml:space="preserve">Jira: </w:t>
      </w:r>
      <w:hyperlink w:history="1" r:id="rIdqfgs2nt_q708jyx2zybxy">
        <w:r>
          <w:rPr>
            <w:rStyle w:val="Hyperlink"/>
            <w:color w:val="1155CC"/>
            <w:u w:val="single"/>
          </w:rPr>
          <w:t xml:space="preserve">REP-2908</w:t>
        </w:r>
      </w:hyperlink>
      <w:r>
        <w:rPr>
          <w:sz w:val="20"/>
          <w:szCs w:val="20"/>
        </w:rPr>
        <w:t xml:space="preserve"> · </w:t>
      </w:r>
      <w:hyperlink w:history="1" r:id="rId-l9dp6h-6l2xpuzsxskoy">
        <w:r>
          <w:rPr>
            <w:rStyle w:val="Hyperlink"/>
            <w:color w:val="1155CC"/>
            <w:u w:val="single"/>
          </w:rPr>
          <w:t xml:space="preserve">REP-3772</w:t>
        </w:r>
      </w:hyperlink>
      <w:r>
        <w:rPr>
          <w:sz w:val="20"/>
          <w:szCs w:val="20"/>
        </w:rPr>
        <w:t xml:space="preserve"> · </w:t>
      </w:r>
      <w:hyperlink w:history="1" r:id="rIdo0yst49i1rzqqsymvdkwe">
        <w:r>
          <w:rPr>
            <w:rStyle w:val="Hyperlink"/>
            <w:color w:val="1155CC"/>
            <w:u w:val="single"/>
          </w:rPr>
          <w:t xml:space="preserve">REP-3773</w:t>
        </w:r>
      </w:hyperlink>
      <w:r>
        <w:rPr>
          <w:sz w:val="20"/>
          <w:szCs w:val="20"/>
        </w:rPr>
        <w:t xml:space="preserve"> · </w:t>
      </w:r>
      <w:hyperlink w:history="1" r:id="rIdvyxpwhpzwjkx3wx-kygv0">
        <w:r>
          <w:rPr>
            <w:rStyle w:val="Hyperlink"/>
            <w:color w:val="1155CC"/>
            <w:u w:val="single"/>
          </w:rPr>
          <w:t xml:space="preserve">REP-3775</w:t>
        </w:r>
      </w:hyperlink>
      <w:r>
        <w:rPr>
          <w:sz w:val="20"/>
          <w:szCs w:val="20"/>
        </w:rPr>
        <w:t xml:space="preserve"> · </w:t>
      </w:r>
      <w:hyperlink w:history="1" r:id="rIdxkysdsfyuuq5kz6coecc5">
        <w:r>
          <w:rPr>
            <w:rStyle w:val="Hyperlink"/>
            <w:color w:val="1155CC"/>
            <w:u w:val="single"/>
          </w:rPr>
          <w:t xml:space="preserve">REP-3776</w:t>
        </w:r>
      </w:hyperlink>
      <w:r>
        <w:rPr>
          <w:sz w:val="20"/>
          <w:szCs w:val="20"/>
        </w:rPr>
        <w:t xml:space="preserve"> · </w:t>
      </w:r>
      <w:hyperlink w:history="1" r:id="rIdtioju5egk4wrqztxk4b1q">
        <w:r>
          <w:rPr>
            <w:rStyle w:val="Hyperlink"/>
            <w:color w:val="1155CC"/>
            <w:u w:val="single"/>
          </w:rPr>
          <w:t xml:space="preserve">REP-3777</w:t>
        </w:r>
      </w:hyperlink>
      <w:r>
        <w:rPr>
          <w:sz w:val="20"/>
          <w:szCs w:val="20"/>
        </w:rPr>
        <w:t xml:space="preserve"> · </w:t>
      </w:r>
      <w:hyperlink w:history="1" r:id="rIdc_jyv9cjall7yp_te0uvt">
        <w:r>
          <w:rPr>
            <w:rStyle w:val="Hyperlink"/>
            <w:color w:val="1155CC"/>
            <w:u w:val="single"/>
          </w:rPr>
          <w:t xml:space="preserve">REP-2909</w:t>
        </w:r>
      </w:hyperlink>
      <w:r>
        <w:rPr>
          <w:sz w:val="20"/>
          <w:szCs w:val="20"/>
        </w:rPr>
        <w:t xml:space="preserve"> · </w:t>
      </w:r>
      <w:hyperlink w:history="1" r:id="rId32xewl3yaubjqaszswvv9">
        <w:r>
          <w:rPr>
            <w:rStyle w:val="Hyperlink"/>
            <w:color w:val="1155CC"/>
            <w:u w:val="single"/>
          </w:rPr>
          <w:t xml:space="preserve">REP-2910</w:t>
        </w:r>
      </w:hyperlink>
    </w:p>
    <w:p>
      <w:pPr>
        <w:spacing w:after="100"/>
      </w:pPr>
      <w:r>
        <w:rPr>
          <w:b/>
          <w:bCs/>
          <w:sz w:val="20"/>
          <w:szCs w:val="20"/>
        </w:rPr>
        <w:t xml:space="preserve">Equipo: </w:t>
      </w:r>
      <w:r>
        <w:rPr>
          <w:sz w:val="20"/>
          <w:szCs w:val="20"/>
        </w:rPr>
        <w:t xml:space="preserve">Hernán Gregorini (PO · DBA) · Leonel Nuñez (PM / Scrum Master) · Matías Krepchuk (Líder Técnico · UX/UI) · Iván Juárez (QA · UX/UI)</w:t>
      </w:r>
    </w:p>
    <w:p>
      <w:pPr>
        <w:spacing w:after="220"/>
      </w:pPr>
      <w:r>
        <w:rPr>
          <w:b/>
          <w:bCs/>
          <w:sz w:val="20"/>
          <w:szCs w:val="20"/>
        </w:rPr>
        <w:t xml:space="preserve">Consultor Especialista: </w:t>
      </w:r>
      <w:r>
        <w:rPr>
          <w:sz w:val="20"/>
          <w:szCs w:val="20"/>
        </w:rPr>
        <w:t xml:space="preserve">Carlos Ruiz (auditor externo · asesoría metodológica)</w:t>
      </w:r>
    </w:p>
    <w:p>
      <w:pPr>
        <w:pBdr>
          <w:left w:val="single" w:color="999999" w:sz="18" w:space="8"/>
        </w:pBdr>
        <w:spacing w:after="200"/>
      </w:pPr>
      <w:r>
        <w:rPr>
          <w:b/>
          <w:bCs/>
          <w:sz w:val="21"/>
          <w:szCs w:val="21"/>
        </w:rPr>
        <w:t xml:space="preserve">Propósito. </w:t>
      </w:r>
      <w:r>
        <w:rPr>
          <w:sz w:val="21"/>
          <w:szCs w:val="21"/>
        </w:rPr>
        <w:t xml:space="preserve">Responder punto por punto a los V-01 a V-13 del documento de devolución de Hernán: qué se corrigió, con qué evidencia, y qué queda abierto todavía.</w:t>
      </w:r>
    </w:p>
    <w:p>
      <w:pPr>
        <w:pStyle w:val="Heading1"/>
        <w:spacing w:after="120" w:before="260"/>
      </w:pPr>
      <w:r>
        <w:t xml:space="preserve">1. Resumen de estado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1400"/>
        <w:gridCol w:w="4250"/>
      </w:tblGrid>
      <w:tr>
        <w:tc>
          <w:tcPr>
            <w:tcW w:type="dxa" w:w="7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Tema</w:t>
            </w:r>
          </w:p>
        </w:tc>
        <w:tc>
          <w:tcPr>
            <w:tcW w:type="dxa" w:w="14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Prioridad</w:t>
            </w:r>
          </w:p>
        </w:tc>
        <w:tc>
          <w:tcPr>
            <w:tcW w:type="dxa" w:w="425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V-01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Clave service_role filtrada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Cerrado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V-02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Backup con datos reales fuera de Git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V-03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Hallazgos de seguridad heredados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Cerrado en lo crítico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V-04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 real de la base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V-05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Migraciones y Pull Request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V-06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Mismo embedding en script y Edge Function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Cerrado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V-07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Prueba de punta a punta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Cerrado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V-08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Límite de reintentos y alerta de presupuesto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</w:tr>
      <w:tr>
        <w:tc>
          <w:tcPr>
            <w:tcW w:type="dxa" w:w="700"/>
            <w:shd w:fill="FDECE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V-09</w:t>
            </w:r>
          </w:p>
        </w:tc>
        <w:tc>
          <w:tcPr>
            <w:tcW w:type="dxa" w:w="3000"/>
            <w:shd w:fill="FDECE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Casos A–F repetidos 5 veces</w:t>
            </w:r>
          </w:p>
        </w:tc>
        <w:tc>
          <w:tcPr>
            <w:tcW w:type="dxa" w:w="1400"/>
            <w:shd w:fill="FDECE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4250"/>
            <w:shd w:fill="FDECE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Corrido — falla en el Caso F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V-10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Caso A: Constitución PBA 192.4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P3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Decisión de Hernán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V-11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Modelo de generación y parámetros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V-12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 clave de Gemini en el frontend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Cerrado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V-13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Registro en Jira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42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Pendiente (Matías)</w:t>
            </w:r>
          </w:p>
        </w:tc>
      </w:tr>
    </w:tbl>
    <w:p>
      <w:pPr>
        <w:spacing w:after="200"/>
      </w:pPr>
    </w:p>
    <w:p>
      <w:pPr>
        <w:pBdr>
          <w:left w:val="single" w:color="B00020" w:sz="28" w:space="10"/>
        </w:pBdr>
        <w:shd w:fill="FDECEA" w:val="clear"/>
        <w:spacing w:after="200"/>
      </w:pPr>
      <w:r>
        <w:rPr>
          <w:b/>
          <w:bCs/>
          <w:color w:val="B00020"/>
          <w:sz w:val="21"/>
          <w:szCs w:val="21"/>
        </w:rPr>
        <w:t xml:space="preserve">El hallazgo más importante de esta actualización es V-09. </w:t>
      </w:r>
      <w:r>
        <w:rPr>
          <w:sz w:val="21"/>
          <w:szCs w:val="21"/>
        </w:rPr>
        <w:t xml:space="preserve">El Caso F — el que el propio documento de Hernán marca como el más importante del set — falló 5 de 5 corridas. Ver sección 2.</w:t>
      </w:r>
    </w:p>
    <w:p>
      <w:pPr>
        <w:pStyle w:val="Heading1"/>
        <w:spacing w:after="120" w:before="260"/>
      </w:pPr>
      <w:r>
        <w:t xml:space="preserve">2. Detalle por punto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V-01 · Clave service_role filtrada — Cerrado</w:t>
      </w:r>
    </w:p>
    <w:p>
      <w:pPr>
        <w:spacing w:after="150"/>
      </w:pPr>
      <w:r>
        <w:rPr>
          <w:sz w:val="21"/>
          <w:szCs w:val="21"/>
        </w:rPr>
        <w:t xml:space="preserve">Confirmado el hallazgo, con un matiz: la clave no vivía en el código de una función (pg_proc), sino en la definición del trigger audit_ia (pg_trigger, embebida en supabase_functions.http_request). La Consulta 1 original no la detecta — se recomienda ampliarla con pg_get_triggerdef.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Trigger audit_ia desactivado sin borrar (tabla infractions, 0 filas).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Clave service_role rotada: migrada al esquema moderno de secret keys, claves legacy JWT deshabilitadas.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Secreto de Vault rag_service_role_key actualizado.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Sitio en producción y pipeline (V-07) verificados funcionando con la clave nueva.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V-02 · Backup con datos reales fuera de Git — Parcial</w:t>
      </w:r>
    </w:p>
    <w:p>
      <w:pPr>
        <w:spacing w:after="150"/>
      </w:pPr>
      <w:r>
        <w:rPr>
          <w:sz w:val="21"/>
          <w:szCs w:val="21"/>
        </w:rPr>
        <w:t xml:space="preserve">Confirmado: supabase/backups/2026-09-14_pre-deploy-rag/ ya está pusheado y mergeado en staging. No contiene el JWT filtrado, pero sí datos reales de 44 tablas. Se agregó supabase/backups/ al .gitignore. Pendiente de decisión conjunta sobre limpiar el historial de staging.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V-03 · Hallazgos de seguridad que ya existían — Cerrado en lo crítico</w:t>
      </w:r>
    </w:p>
    <w:p>
      <w:pPr>
        <w:spacing w:after="150"/>
      </w:pPr>
      <w:r>
        <w:rPr>
          <w:sz w:val="21"/>
          <w:szCs w:val="21"/>
        </w:rPr>
        <w:t xml:space="preserve">0 tablas sin RLS. 17 tablas con RLS sin políticas (deny total, no hueco). Políticas de report_ai_analysis/evidence correctas.</w:t>
      </w:r>
    </w:p>
    <w:p>
      <w:pPr>
        <w:pBdr>
          <w:left w:val="single" w:color="999999" w:sz="18" w:space="8"/>
        </w:pBdr>
        <w:spacing w:after="200"/>
      </w:pPr>
      <w:r>
        <w:rPr>
          <w:b/>
          <w:bCs/>
          <w:sz w:val="21"/>
          <w:szCs w:val="21"/>
        </w:rPr>
        <w:t xml:space="preserve">Hallazgo nuevo. </w:t>
      </w:r>
      <w:r>
        <w:rPr>
          <w:sz w:val="21"/>
          <w:szCs w:val="21"/>
        </w:rPr>
        <w:t xml:space="preserve">dispatch_rag_analysis_queue y enqueue_rag_analysis eran ejecutables vía RPC público por anon y authenticated. Corregido: revocado EXECUTE de PUBLIC y authenticated. Disparo interno verificado sin cambios.</w:t>
      </w:r>
    </w:p>
    <w:p>
      <w:pPr>
        <w:spacing w:after="150"/>
      </w:pPr>
      <w:r>
        <w:rPr>
          <w:sz w:val="21"/>
          <w:szCs w:val="21"/>
        </w:rPr>
        <w:t xml:space="preserve">Pendientes menores (WARN): 10 funciones sin search_path fijo, extensión vector en public, protección de contraseñas filtradas desactivada.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V-04 · Estado real de la base — Parcial</w:t>
      </w:r>
    </w:p>
    <w:p>
      <w:pPr>
        <w:spacing w:after="150"/>
      </w:pPr>
      <w:r>
        <w:rPr>
          <w:sz w:val="21"/>
          <w:szCs w:val="21"/>
        </w:rPr>
        <w:t xml:space="preserve">PARTE 8 completa: todo OK salvo profiles (5 de 6), citizen_reports (0 de 8) y report_state_history (0 de 18) — los seeds demo nunca se recargaron. Las 15 huellas del corpus coinciden exactamente. Cascada jurisdiccional correcta. Pendiente decidir si se recargan los seeds demo.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V-05 · Migraciones y Pull Request — Parcial</w:t>
      </w:r>
    </w:p>
    <w:p>
      <w:pPr>
        <w:spacing w:after="150"/>
      </w:pPr>
      <w:r>
        <w:rPr>
          <w:sz w:val="21"/>
          <w:szCs w:val="21"/>
        </w:rPr>
        <w:t xml:space="preserve">Se versionaron 11 migraciones con el SQL exacto y los timestamps reales leídos del historial interno de Supabase: extensiones, RLS, secreto de Vault, pipeline asíncrono, cron, RLS de report_images, y las correcciones de V-01/V-03/V-08.</w:t>
      </w:r>
    </w:p>
    <w:p>
      <w:pPr>
        <w:pBdr>
          <w:left w:val="single" w:color="999999" w:sz="18" w:space="8"/>
        </w:pBdr>
        <w:spacing w:after="200"/>
      </w:pPr>
      <w:r>
        <w:rPr>
          <w:b/>
          <w:bCs/>
          <w:sz w:val="21"/>
          <w:szCs w:val="21"/>
        </w:rPr>
        <w:t xml:space="preserve">Hallazgo nuevo. </w:t>
      </w:r>
      <w:r>
        <w:rPr>
          <w:sz w:val="21"/>
          <w:szCs w:val="21"/>
        </w:rPr>
        <w:t xml:space="preserve">el esquema pgmq no está expuesto en la API de Supabase — el borrado de mensajes procesados fallaba silenciosamente y los reprocesaba para siempre. Ya resuelto con un wrapper, nunca documentado hasta ahora.</w:t>
      </w:r>
    </w:p>
    <w:p>
      <w:pPr>
        <w:spacing w:after="150"/>
      </w:pPr>
      <w:r>
        <w:rPr>
          <w:sz w:val="21"/>
          <w:szCs w:val="21"/>
        </w:rPr>
        <w:t xml:space="preserve">Excluidos a propósito: los 3 backfills de embeddings y el valor de la clave rag_service_role_key. Pendiente: abrir el PR contra staging (develop no existe en este repositorio).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V-06 · Mismo embedding en script y Edge Function — Cerrado</w:t>
      </w:r>
    </w:p>
    <w:p>
      <w:pPr>
        <w:spacing w:after="150"/>
      </w:pPr>
      <w:r>
        <w:rPr>
          <w:sz w:val="21"/>
          <w:szCs w:val="21"/>
        </w:rPr>
        <w:t xml:space="preserve">Parámetros idénticos entre el script local y la Edge Function real. Se generó el embedding de FR12 con el código exacto de la Edge Function y se comparó contra el guardado: similitud = 1.0.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V-07 · Prueba de punta a punta — Cerrado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</w:t>
            </w:r>
          </w:p>
        </w:tc>
        <w:tc>
          <w:tcPr>
            <w:tcW w:type="dxa" w:w="615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Insert → report_ai_analysis creado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~15 segundos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Resultado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fundamentado, confidence_score: 0.98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Evidencia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 fragmentos recuperados, todos de CABA; 2 citas literales correctas</w:t>
            </w:r>
          </w:p>
        </w:tc>
      </w:tr>
    </w:tbl>
    <w:p>
      <w:pPr>
        <w:spacing w:after="150"/>
      </w:pPr>
    </w:p>
    <w:p>
      <w:pPr>
        <w:spacing w:after="150"/>
      </w:pPr>
      <w:r>
        <w:rPr>
          <w:sz w:val="21"/>
          <w:szCs w:val="21"/>
        </w:rPr>
        <w:t xml:space="preserve">Corrido íntegramente con la clave service_role nueva (post-rotación de V-01).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V-08 · Límite de reintentos y alerta de presupuesto — Parcial</w:t>
      </w:r>
    </w:p>
    <w:p>
      <w:pPr>
        <w:spacing w:after="150"/>
      </w:pPr>
      <w:r>
        <w:rPr>
          <w:sz w:val="21"/>
          <w:szCs w:val="21"/>
        </w:rPr>
        <w:t xml:space="preserve">Confirmado: dispatch_rag_analysis_queue no revisaba read_ct — reintentos infinitos con costo real. cron.job_run_details: 350 filas en ~7.5 horas.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Aplicado: límite de 5 reintentos, archivado del mensaje (sin borrar) y análisis "indeterminado" con motivo al superarlo.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Nueva tarea diaria que limpia cron.job_run_details (&gt;7 días).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Verificado que los privilegios revocados de V-03 se mantuvieron.</w:t>
      </w:r>
    </w:p>
    <w:p>
      <w:pPr>
        <w:spacing w:after="150"/>
      </w:pPr>
      <w:r>
        <w:rPr>
          <w:sz w:val="21"/>
          <w:szCs w:val="21"/>
        </w:rPr>
        <w:t xml:space="preserve">Pendiente (fuera del alcance de las herramientas disponibles): alerta de presupuesto en Google Cloud — acción manual de Matías.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V-09 · Casos A–F repetidos 5 veces — Corrido, con hallazgo crítico</w:t>
      </w:r>
    </w:p>
    <w:p>
      <w:pPr>
        <w:spacing w:after="150"/>
      </w:pPr>
      <w:r>
        <w:rPr>
          <w:sz w:val="21"/>
          <w:szCs w:val="21"/>
        </w:rPr>
        <w:t xml:space="preserve">Se insertaron 35 citizen_reports reales (7 casos × 5 corridas) y se dejó procesar por el pipeline automático completo.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550"/>
      </w:tblGrid>
      <w:tr>
        <w:tc>
          <w:tcPr>
            <w:tcW w:type="dxa" w:w="16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Caso</w:t>
            </w:r>
          </w:p>
        </w:tc>
        <w:tc>
          <w:tcPr>
            <w:tcW w:type="dxa" w:w="32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  <w:tc>
          <w:tcPr>
            <w:tcW w:type="dxa" w:w="455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Consistencia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1/5 fundamentado, 4/5 sin_normativa</w:t>
            </w:r>
          </w:p>
        </w:tc>
        <w:tc>
          <w:tcPr>
            <w:tcW w:type="dxa" w:w="45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Inconsistente (coincide con V-10)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5/5 fundamentado (Ley 2148 + 451, CABA)</w:t>
            </w:r>
          </w:p>
        </w:tc>
        <w:tc>
          <w:tcPr>
            <w:tcW w:type="dxa" w:w="45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Correcto — nunca citó Ley 24.449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 (control neg.)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5/5 fundamentado (Ley 24.449)</w:t>
            </w:r>
          </w:p>
        </w:tc>
        <w:tc>
          <w:tcPr>
            <w:tcW w:type="dxa" w:w="45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Correcto — filtro de jurisdicción funciona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D-Avellaneda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2/5 fundamentado, 3/5 asistencia</w:t>
            </w:r>
          </w:p>
        </w:tc>
        <w:tc>
          <w:tcPr>
            <w:tcW w:type="dxa" w:w="45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Cita consistente, estado inconsistente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D-CABA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5/5 asistencia (Ley 210)</w:t>
            </w:r>
          </w:p>
        </w:tc>
        <w:tc>
          <w:tcPr>
            <w:tcW w:type="dxa" w:w="45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Consistente; posible decisión de producto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5/5 fundamentado (Ley 24.449)</w:t>
            </w:r>
          </w:p>
        </w:tc>
        <w:tc>
          <w:tcPr>
            <w:tcW w:type="dxa" w:w="45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Correcto — no confundió con Código de Faltas</w:t>
            </w:r>
          </w:p>
        </w:tc>
      </w:tr>
      <w:tr>
        <w:tc>
          <w:tcPr>
            <w:tcW w:type="dxa" w:w="1600"/>
            <w:shd w:fill="FDECE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3200"/>
            <w:shd w:fill="FDECE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5/5 fundamentado (esperado: sin_normativa)</w:t>
            </w:r>
          </w:p>
        </w:tc>
        <w:tc>
          <w:tcPr>
            <w:tcW w:type="dxa" w:w="4550"/>
            <w:shd w:fill="FDECE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Consistente PERO INCORRECTO</w:t>
            </w:r>
          </w:p>
        </w:tc>
      </w:tr>
    </w:tbl>
    <w:p>
      <w:pPr>
        <w:spacing w:after="150"/>
      </w:pPr>
    </w:p>
    <w:p>
      <w:pPr>
        <w:pBdr>
          <w:left w:val="single" w:color="B00020" w:sz="28" w:space="10"/>
        </w:pBdr>
        <w:shd w:fill="FDECEA" w:val="clear"/>
        <w:spacing w:after="200"/>
      </w:pPr>
      <w:r>
        <w:rPr>
          <w:b/>
          <w:bCs/>
          <w:color w:val="B00020"/>
          <w:sz w:val="21"/>
          <w:szCs w:val="21"/>
        </w:rPr>
        <w:t xml:space="preserve">Hallazgo crítico. </w:t>
      </w:r>
      <w:r>
        <w:rPr>
          <w:sz w:val="21"/>
          <w:szCs w:val="21"/>
        </w:rPr>
        <w:t xml:space="preserve">El Caso F (comercio irregular, sin corpus cargado) falló 5 de 5. El sistema citó literalmente la Ley 24.449 art. 48 inc. t) ("instalarse o realizar venta de productos en zona alguna del camino") para fundamentar un reclamo de venta ambulante sin habilitación. La cita es literal y pasa la validación vigente, pero es una norma de tránsito vehicular aplicada a un caso de habilitación comercial. No es una cita inventada, pero el efecto práctico es el mismo que el documento buscaba evitar.</w:t>
      </w:r>
    </w:p>
    <w:p>
      <w:pPr>
        <w:spacing w:after="150"/>
      </w:pPr>
      <w:r>
        <w:rPr>
          <w:sz w:val="21"/>
          <w:szCs w:val="21"/>
        </w:rPr>
        <w:t xml:space="preserve">V-09 no se da por cerrado. Requiere una decisión de producto: bloquear la categoría COMERCIO_IRREGULAR hasta que haya corpus real, o afinar el prompt/umbral.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V-10 · Caso A, Constitución PBA 192.4 — decisión de Hernán</w:t>
      </w:r>
    </w:p>
    <w:p>
      <w:pPr>
        <w:spacing w:after="150"/>
      </w:pPr>
      <w:r>
        <w:rPr>
          <w:sz w:val="21"/>
          <w:szCs w:val="21"/>
        </w:rPr>
        <w:t xml:space="preserve">Sin cambios de nuestro lado. El resultado de V-09 (Caso A inconsistente) agrega evidencia a esta decisión.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V-11 · Modelo de generación y parámetros — Parcial</w:t>
      </w:r>
    </w:p>
    <w:p>
      <w:pPr>
        <w:spacing w:after="150"/>
      </w:pPr>
      <w:r>
        <w:rPr>
          <w:sz w:val="21"/>
          <w:szCs w:val="21"/>
        </w:rPr>
        <w:t xml:space="preserve">generation_models activo coincide con el código real (gemini-3.8-flash). Sin temperature explícito, thinkingLevel: low, responseSchema presente.</w:t>
      </w:r>
    </w:p>
    <w:p>
      <w:pPr>
        <w:pBdr>
          <w:left w:val="single" w:color="999999" w:sz="18" w:space="8"/>
        </w:pBdr>
        <w:spacing w:after="200"/>
      </w:pPr>
      <w:r>
        <w:rPr>
          <w:b/>
          <w:bCs/>
          <w:sz w:val="21"/>
          <w:szCs w:val="21"/>
        </w:rPr>
        <w:t xml:space="preserve">Hallazgo. </w:t>
      </w:r>
      <w:r>
        <w:rPr>
          <w:sz w:val="21"/>
          <w:szCs w:val="21"/>
        </w:rPr>
        <w:t xml:space="preserve">prompt_version nunca se popula en el código actual. El criterio de cierre no se cumple del todo: generation_model_code sí se guarda, prompt_version no.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V-12 · Sin clave de Gemini en el frontend — Cerrado</w:t>
      </w:r>
    </w:p>
    <w:p>
      <w:pPr>
        <w:spacing w:after="150"/>
      </w:pPr>
      <w:r>
        <w:rPr>
          <w:sz w:val="21"/>
          <w:szCs w:val="21"/>
        </w:rPr>
        <w:t xml:space="preserve">legalRagService.js/geminiClient.js sin imports reales desde la app. Build de producción sin coincidencias de claves ni código del cliente.</w:t>
      </w:r>
    </w:p>
    <w:p>
      <w:pPr>
        <w:spacing w:after="90" w:before="220"/>
      </w:pPr>
      <w:r>
        <w:rPr>
          <w:b/>
          <w:bCs/>
          <w:sz w:val="23"/>
          <w:szCs w:val="23"/>
        </w:rPr>
        <w:t xml:space="preserve">V-13 · Registro en Jira — Pendiente</w:t>
      </w:r>
    </w:p>
    <w:p>
      <w:pPr>
        <w:spacing w:after="150"/>
      </w:pPr>
      <w:r>
        <w:rPr>
          <w:sz w:val="21"/>
          <w:szCs w:val="21"/>
        </w:rPr>
        <w:t xml:space="preserve">Queda para Matías comentar en REP-2908.</w:t>
      </w:r>
    </w:p>
    <w:p>
      <w:pPr>
        <w:pStyle w:val="Heading1"/>
        <w:spacing w:after="120" w:before="260"/>
      </w:pPr>
      <w:r>
        <w:t xml:space="preserve">3. Preguntas del documento original — lo que podemos responder ahora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c>
          <w:tcPr>
            <w:tcW w:type="dxa" w:w="42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Pregunta de Hernán</w:t>
            </w:r>
          </w:p>
        </w:tc>
        <w:tc>
          <w:tcPr>
            <w:tcW w:type="dxa" w:w="515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¿Se recargaron los seeds de REP-3605?</w:t>
            </w:r>
          </w:p>
        </w:tc>
        <w:tc>
          <w:tcPr>
            <w:tcW w:type="dxa" w:w="5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confirmado en V-04.</w:t>
            </w:r>
          </w:p>
        </w:tc>
      </w:tr>
      <w:tr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¿trg_enqueue_rag_analysis se dispara solo al insertar?</w:t>
            </w:r>
          </w:p>
        </w:tc>
        <w:tc>
          <w:tcPr>
            <w:tcW w:type="dxa" w:w="5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Sí, solo al insertar — confirmado en el código.</w:t>
            </w:r>
          </w:p>
        </w:tc>
      </w:tr>
      <w:tr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¿profile_attends_report es de la PARTE 5B?</w:t>
            </w:r>
          </w:p>
        </w:tc>
        <w:tc>
          <w:tcPr>
            <w:tcW w:type="dxa" w:w="5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Existe con la firma esperada; no comparado línea por línea.</w:t>
            </w:r>
          </w:p>
        </w:tc>
      </w:tr>
      <w:tr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¿curl manual guardó filas en report_ai_analysis?</w:t>
            </w:r>
          </w:p>
        </w:tc>
        <w:tc>
          <w:tcPr>
            <w:tcW w:type="dxa" w:w="5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verificado — requiere revisión aparte.</w:t>
            </w:r>
          </w:p>
        </w:tc>
      </w:tr>
      <w:tr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¿Qué pasó con la clave de Gemini regenerada?</w:t>
            </w:r>
          </w:p>
        </w:tc>
        <w:tc>
          <w:tcPr>
            <w:tcW w:type="dxa" w:w="5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investigado — lo responde Matías.</w:t>
            </w:r>
          </w:p>
        </w:tc>
      </w:tr>
    </w:tbl>
    <w:p>
      <w:pPr>
        <w:spacing w:after="200"/>
      </w:pPr>
    </w:p>
    <w:p>
      <w:pPr>
        <w:pStyle w:val="Heading1"/>
        <w:spacing w:after="120" w:before="260"/>
      </w:pPr>
      <w:r>
        <w:t xml:space="preserve">4. Próximos pasos sugeridos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Decidir el tratamiento de COMERCIO_IRREGULAR (V-09) — lo más urgente, afecta la promesa central del producto.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Decidir V-02 (historial de git) y V-04 (recarga de seeds demo).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Abrir el Pull Request de V-05 contra staging.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Configurar la alerta de presupuesto de Google Cloud (V-08).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Decidir el esquema de prompt_version (V-11).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V-13 queda pendiente del comentario de Matías en Jira.</w:t>
      </w:r>
    </w:p>
    <w:p>
      <w:pPr>
        <w:pStyle w:val="Heading1"/>
        <w:spacing w:after="120" w:before="260"/>
      </w:pPr>
      <w:r>
        <w:t xml:space="preserve">Nota de versión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v1.1 — 15 de septiembre de 2026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c>
          <w:tcPr>
            <w:tcW w:type="dxa" w:w="42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cambió</w:t>
            </w:r>
          </w:p>
        </w:tc>
        <w:tc>
          <w:tcPr>
            <w:tcW w:type="dxa" w:w="515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Por qué</w:t>
            </w:r>
          </w:p>
        </w:tc>
      </w:tr>
      <w:tr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cerró V-06 y se corrió V-09</w:t>
            </w:r>
          </w:p>
        </w:tc>
        <w:tc>
          <w:tcPr>
            <w:tcW w:type="dxa" w:w="5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Verificaciones pendientes de la v1.0, autorizadas por Matías</w:t>
            </w:r>
          </w:p>
        </w:tc>
      </w:tr>
      <w:tr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Corrección real aplicada en V-08</w:t>
            </w:r>
          </w:p>
        </w:tc>
        <w:tc>
          <w:tcPr>
            <w:tcW w:type="dxa" w:w="5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Hallazgo confirmado durante la verificación</w:t>
            </w:r>
          </w:p>
        </w:tc>
      </w:tr>
      <w:tr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Hallazgo crítico del Caso F en V-09</w:t>
            </w:r>
          </w:p>
        </w:tc>
        <w:tc>
          <w:tcPr>
            <w:tcW w:type="dxa" w:w="5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Resultado de las 35 corridas — afecta la confiabilidad del producto</w:t>
            </w:r>
          </w:p>
        </w:tc>
      </w:tr>
      <w:tr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V-03 pasa a "cerrado en lo crítico"</w:t>
            </w:r>
          </w:p>
        </w:tc>
        <w:tc>
          <w:tcPr>
            <w:tcW w:type="dxa" w:w="515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hallazgos P1 de seguridad quedaron resueltos</w:t>
            </w:r>
          </w:p>
        </w:tc>
      </w:tr>
    </w:tbl>
    <w:p>
      <w:pPr>
        <w:spacing w:before="220"/>
      </w:pPr>
    </w:p>
    <w:p>
      <w:r>
        <w:rPr>
          <w:b/>
          <w:bCs/>
          <w:sz w:val="20"/>
          <w:szCs w:val="20"/>
        </w:rPr>
        <w:t xml:space="preserve">Documentos relacionados: </w:t>
      </w:r>
      <w:hyperlink w:history="1" r:id="rIdjrqyf5gnn4pyyyj_6boiz">
        <w:r>
          <w:rPr>
            <w:rStyle w:val="Hyperlink"/>
            <w:color w:val="1155CC"/>
            <w:u w:val="single"/>
          </w:rPr>
          <w:t xml:space="preserve">REP-DEPLOY-RAG-SUPABASE_devolucion_y_verificacion.md</w:t>
        </w:r>
      </w:hyperlink>
      <w:r>
        <w:rPr>
          <w:sz w:val="20"/>
          <w:szCs w:val="20"/>
        </w:rPr>
        <w:t xml:space="preserve"> · </w:t>
      </w:r>
      <w:hyperlink w:history="1" r:id="rIdssgcc8vod1-qstmqknb9t">
        <w:r>
          <w:rPr>
            <w:rStyle w:val="Hyperlink"/>
            <w:color w:val="1155CC"/>
            <w:u w:val="single"/>
          </w:rPr>
          <w:t xml:space="preserve">REP-2908</w:t>
        </w:r>
      </w:hyperlink>
      <w:r>
        <w:rPr>
          <w:sz w:val="20"/>
          <w:szCs w:val="20"/>
        </w:rPr>
        <w:t xml:space="preserve"> · </w:t>
      </w:r>
      <w:hyperlink w:history="1" r:id="rIdrktrwisc85m3zs01cndhq">
        <w:r>
          <w:rPr>
            <w:rStyle w:val="Hyperlink"/>
            <w:color w:val="1155CC"/>
            <w:u w:val="single"/>
          </w:rPr>
          <w:t xml:space="preserve">REP-2909</w:t>
        </w:r>
      </w:hyperlink>
      <w:r>
        <w:rPr>
          <w:sz w:val="20"/>
          <w:szCs w:val="20"/>
        </w:rPr>
        <w:t xml:space="preserve"> · </w:t>
      </w:r>
      <w:hyperlink w:history="1" r:id="rIdt3gsicmrswex_c_uuaqjv">
        <w:r>
          <w:rPr>
            <w:rStyle w:val="Hyperlink"/>
            <w:color w:val="1155CC"/>
            <w:u w:val="single"/>
          </w:rPr>
          <w:t xml:space="preserve">REP-3764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vr5mw5hsf9e0v3cpnyzh" Type="http://schemas.openxmlformats.org/officeDocument/2006/relationships/hyperlink" Target="https://unlz2026.atlassian.net/browse/REP-2908" TargetMode="External"/><Relationship Id="rIdqfgs2nt_q708jyx2zybxy" Type="http://schemas.openxmlformats.org/officeDocument/2006/relationships/hyperlink" Target="https://unlz2026.atlassian.net/browse/REP-2908" TargetMode="External"/><Relationship Id="rId-l9dp6h-6l2xpuzsxskoy" Type="http://schemas.openxmlformats.org/officeDocument/2006/relationships/hyperlink" Target="https://unlz2026.atlassian.net/browse/REP-3772" TargetMode="External"/><Relationship Id="rIdo0yst49i1rzqqsymvdkwe" Type="http://schemas.openxmlformats.org/officeDocument/2006/relationships/hyperlink" Target="https://unlz2026.atlassian.net/browse/REP-3773" TargetMode="External"/><Relationship Id="rIdvyxpwhpzwjkx3wx-kygv0" Type="http://schemas.openxmlformats.org/officeDocument/2006/relationships/hyperlink" Target="https://unlz2026.atlassian.net/browse/REP-3775" TargetMode="External"/><Relationship Id="rIdxkysdsfyuuq5kz6coecc5" Type="http://schemas.openxmlformats.org/officeDocument/2006/relationships/hyperlink" Target="https://unlz2026.atlassian.net/browse/REP-3776" TargetMode="External"/><Relationship Id="rIdtioju5egk4wrqztxk4b1q" Type="http://schemas.openxmlformats.org/officeDocument/2006/relationships/hyperlink" Target="https://unlz2026.atlassian.net/browse/REP-3777" TargetMode="External"/><Relationship Id="rIdc_jyv9cjall7yp_te0uvt" Type="http://schemas.openxmlformats.org/officeDocument/2006/relationships/hyperlink" Target="https://unlz2026.atlassian.net/browse/REP-2909" TargetMode="External"/><Relationship Id="rId32xewl3yaubjqaszswvv9" Type="http://schemas.openxmlformats.org/officeDocument/2006/relationships/hyperlink" Target="https://unlz2026.atlassian.net/browse/REP-2910" TargetMode="External"/><Relationship Id="rIdjrqyf5gnn4pyyyj_6boiz" Type="http://schemas.openxmlformats.org/officeDocument/2006/relationships/hyperlink" Target="https://unlz2026.atlassian.net/browse/REP-2908" TargetMode="External"/><Relationship Id="rIdssgcc8vod1-qstmqknb9t" Type="http://schemas.openxmlformats.org/officeDocument/2006/relationships/hyperlink" Target="https://unlz2026.atlassian.net/browse/REP-2908" TargetMode="External"/><Relationship Id="rIdrktrwisc85m3zs01cndhq" Type="http://schemas.openxmlformats.org/officeDocument/2006/relationships/hyperlink" Target="https://unlz2026.atlassian.net/browse/REP-2909" TargetMode="External"/><Relationship Id="rIdt3gsicmrswex_c_uuaqjv" Type="http://schemas.openxmlformats.org/officeDocument/2006/relationships/hyperlink" Target="https://unlz2026.atlassian.net/browse/REP-3764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2026-09-15T13:15:16.190Z</dcterms:created>
  <dcterms:modified xsi:type="dcterms:W3CDTF">2026-09-15T13:15:16.192Z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