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Reportalo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Plataforma de Auditoría Ciudadana</w:t>
      </w:r>
    </w:p>
    <w:p>
      <w:pPr>
        <w:spacing w:after="140"/>
      </w:pPr>
      <w:r>
        <w:rPr>
          <w:b/>
          <w:bCs/>
          <w:sz w:val="28"/>
          <w:szCs w:val="28"/>
        </w:rPr>
        <w:t xml:space="preserve">PROPUESTA — RESOLUCIÓN DE LOCALITY_ID EN DOS FASES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Versión 1.2 · 15 de septiembre de 2026 · Construcción · Proyecto RAR-2026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Responde a: </w:t>
      </w:r>
      <w:hyperlink w:history="1" r:id="rId6rtmc7qbpjzkjyja340be">
        <w:r>
          <w:rPr>
            <w:rStyle w:val="Hyperlink"/>
            <w:color w:val="1155CC"/>
            <w:u w:val="single"/>
          </w:rPr>
          <w:t xml:space="preserve">REP-2500_resolucion-locality-id.docx (v1.0)</w:t>
        </w:r>
      </w:hyperlink>
      <w:r>
        <w:rPr>
          <w:sz w:val="20"/>
          <w:szCs w:val="20"/>
        </w:rPr>
        <w:t xml:space="preserve"> y a la devolución de Leo y Hernán en Jira (15/09) — ver §5 sobre el proveedor de geocoding.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Jira: </w:t>
      </w:r>
      <w:hyperlink w:history="1" r:id="rIdrazwa8ixr25oxt8lt8m0o">
        <w:r>
          <w:rPr>
            <w:rStyle w:val="Hyperlink"/>
            <w:color w:val="1155CC"/>
            <w:u w:val="single"/>
          </w:rPr>
          <w:t xml:space="preserve">REP-2500</w:t>
        </w:r>
      </w:hyperlink>
      <w:r>
        <w:rPr>
          <w:sz w:val="20"/>
          <w:szCs w:val="20"/>
        </w:rPr>
        <w:t xml:space="preserve"> (Historia de Usuario · Sprint 12, stretch goal)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Equipo: </w:t>
      </w:r>
      <w:r>
        <w:rPr>
          <w:sz w:val="20"/>
          <w:szCs w:val="20"/>
        </w:rPr>
        <w:t xml:space="preserve">Hernán Gregorini (PO / Autor) · Leonel Nuñez (PM / Scrum Master) · Matías Krepchuk (Líder Técnico · UX/UI) · Iván Juárez (QA · UX/UI)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Consultor Especialista: </w:t>
      </w:r>
      <w:r>
        <w:rPr>
          <w:sz w:val="20"/>
          <w:szCs w:val="20"/>
        </w:rPr>
        <w:t xml:space="preserve">Carlos Ruiz (auditor externo · asesoría metodológica)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Propósito. </w:t>
      </w:r>
      <w:r>
        <w:rPr>
          <w:sz w:val="21"/>
          <w:szCs w:val="21"/>
        </w:rPr>
        <w:t xml:space="preserve">Responder a la propuesta de Leo (Opción 4 automática con Opción 1 como contingencia) con un análisis técnico, y resolver con evidencia la discusión abierta entre Leo y Hernán sobre qué proveedor de geocoding usar en la Fase 2.</w:t>
      </w:r>
    </w:p>
    <w:p>
      <w:pPr>
        <w:pStyle w:val="Heading1"/>
        <w:spacing w:after="120" w:before="260"/>
      </w:pPr>
      <w:r>
        <w:t xml:space="preserve">1. La propuesta de Leo</w:t>
      </w:r>
    </w:p>
    <w:p>
      <w:pPr>
        <w:spacing w:after="150"/>
      </w:pPr>
      <w:r>
        <w:rPr>
          <w:sz w:val="21"/>
          <w:szCs w:val="21"/>
        </w:rPr>
        <w:t xml:space="preserve">Reverse-geocoding automático (Opción 4) como camino principal; si falla la geolocalización o el reverse-geo, cae al selector manual de localidad (Opción 1) como contingencia. Hernán está de acuerdo.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Decisión. </w:t>
      </w:r>
      <w:r>
        <w:rPr>
          <w:sz w:val="21"/>
          <w:szCs w:val="21"/>
        </w:rPr>
        <w:t xml:space="preserve">El patrón es correcto — automático primero, con un camino manual de respaldo, es justo lo que evita que el ciudadano quede trabado si una API externa falla.</w:t>
      </w:r>
    </w:p>
    <w:p>
      <w:pPr>
        <w:pStyle w:val="Heading1"/>
        <w:spacing w:after="120" w:before="260"/>
      </w:pPr>
      <w:r>
        <w:t xml:space="preserve">2. Por qué esto no es solo "agregarle un fallback a la Opción 1"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Elegir un proveedor externo — ver comparación en §5.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Matchear el resultado contra localities: el proveedor devuelve texto libre, no un id de la tabla.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Ya hay un problema de datos: dos filas "Avellaneda" duplicadas en localities.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Falta definir el criterio exacto de "cuándo cae al fallback".</w:t>
      </w:r>
    </w:p>
    <w:p>
      <w:pPr>
        <w:pStyle w:val="Heading1"/>
        <w:spacing w:after="120" w:before="260"/>
      </w:pPr>
      <w:r>
        <w:t xml:space="preserve">3. Recomendación: dos fases, no una entrega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Fase 1 — REP-2500, Sprint 12 (ahora).</w:t>
      </w:r>
    </w:p>
    <w:p>
      <w:pPr>
        <w:spacing w:after="150"/>
      </w:pPr>
      <w:r>
        <w:rPr>
          <w:sz w:val="21"/>
          <w:szCs w:val="21"/>
        </w:rPr>
        <w:t xml:space="preserve">Selector manual (Opción 1) como única vía. Cierra el ticket sin depender de decisiones externas todavía pendientes.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Fase 2 — ticket aparte, sprint a definir.</w:t>
      </w:r>
    </w:p>
    <w:p>
      <w:pPr>
        <w:spacing w:after="150"/>
      </w:pPr>
      <w:r>
        <w:rPr>
          <w:sz w:val="21"/>
          <w:szCs w:val="21"/>
        </w:rPr>
        <w:t xml:space="preserve">Reverse-geocoding automático encima del selector: si falla o hay baja confianza, precarga el selector de la Fase 1 en vez de dejarlo vacío.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Confirmado por Leo y Hernán (Jira, 15/09). </w:t>
      </w:r>
      <w:r>
        <w:rPr>
          <w:sz w:val="21"/>
          <w:szCs w:val="21"/>
        </w:rPr>
        <w:t xml:space="preserve">Ambos coinciden con esta secuencia. La única diferencia entre sus mensajes es el proveedor: Leo propone Google Geocoding, Hernán propone OpenStreetMap/Nominatim. Se resuelve en §5.</w:t>
      </w:r>
    </w:p>
    <w:p>
      <w:pPr>
        <w:pStyle w:val="Heading1"/>
        <w:spacing w:after="120" w:before="260"/>
      </w:pPr>
      <w:r>
        <w:t xml:space="preserve">4. Fuera de alcance de esta propuesta</w:t>
      </w:r>
    </w:p>
    <w:p>
      <w:pPr>
        <w:spacing w:after="150"/>
      </w:pPr>
      <w:r>
        <w:rPr>
          <w:sz w:val="21"/>
          <w:szCs w:val="21"/>
        </w:rPr>
        <w:t xml:space="preserve">Todo lo referido al frente RAG (V-01 a V-13) — Leo pidió explícitamente priorizar cerrar ese frente primero este sprint. Ver REP-2908-VERIF_devolucion-a-hernan.docx.</w:t>
      </w:r>
    </w:p>
    <w:p>
      <w:pPr>
        <w:pStyle w:val="Heading1"/>
        <w:spacing w:after="120" w:before="260"/>
      </w:pPr>
      <w:r>
        <w:t xml:space="preserve">5. Google Geocoding vs. OpenStreetMap/Nominatim — comparación para resolver O-2</w:t>
      </w:r>
    </w:p>
    <w:p>
      <w:pPr>
        <w:spacing w:after="150"/>
      </w:pPr>
      <w:r>
        <w:rPr>
          <w:sz w:val="21"/>
          <w:szCs w:val="21"/>
        </w:rPr>
        <w:t xml:space="preserve">Leo cita la página oficial de precios de Google Maps Platform: la Geocoding API da 10.000 solicitudes gratis por mes, y recién a partir de la 10.001 cobra 5 USD por cada 1.000. Verificado contra la fuente: el número es correcto. Para el volumen de un MVP, sobra.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75"/>
        <w:gridCol w:w="3475"/>
      </w:tblGrid>
      <w:tr>
        <w:tc>
          <w:tcPr>
            <w:tcW w:type="dxa" w:w="2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75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Geocoding API</w:t>
            </w:r>
          </w:p>
        </w:tc>
        <w:tc>
          <w:tcPr>
            <w:tcW w:type="dxa" w:w="3475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OpenStreetMap / Nominatim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USD hasta 10.000/mes, luego 5 USD/1.000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Gratis, sin techo de costo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Precisión de barrio (AR)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— address_components estructurados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 — límites de barrio con huecos en CABA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Límite de uso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Cuota configurable por billing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req/segundo (servidor público), sin SLA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 propia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Ninguna — API administrada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Auto-hosteo si se supera el uso razonable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Requiere billing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 (tarjeta cargada, aunque uso sea 0 USD)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SLA / soporte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347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50"/>
      </w:pP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Recomendación: Google Geocoding API. </w:t>
      </w:r>
      <w:r>
        <w:rPr>
          <w:sz w:val="21"/>
          <w:szCs w:val="21"/>
        </w:rPr>
        <w:t xml:space="preserve">Dos razones pesan más para este caso puntual: (1) la precisión de barrio es justo lo que necesitan — matchear contra localities es el punto débil de Nominatim en Argentina; (2) la cuenta de billing no es una superficie de riesgo nueva — ya van a necesitar una alerta de presupuesto en Google Cloud para Gemini (V-08), agregar la misma alerta para Geocoding es incremental.</w:t>
      </w:r>
    </w:p>
    <w:p>
      <w:pPr>
        <w:spacing w:after="150"/>
      </w:pPr>
      <w:r>
        <w:rPr>
          <w:sz w:val="21"/>
          <w:szCs w:val="21"/>
        </w:rPr>
        <w:t xml:space="preserve">La contra de Nominatim (evitar depender de una cuenta de billing) es real, pero a cambio de peor precisión en el dato que más importa acá, y de un problema de infraestructura (auto-hosteo) que hoy no está en el radar del equipo.</w:t>
      </w:r>
    </w:p>
    <w:p>
      <w:pPr>
        <w:spacing w:after="150"/>
      </w:pPr>
      <w:r>
        <w:rPr>
          <w:sz w:val="21"/>
          <w:szCs w:val="21"/>
        </w:rPr>
        <w:t xml:space="preserve">Si de todos modos se prefiere evitar la dependencia de Google, la alternativa razonable no es Nominatim público, sino evaluar un proveedor de geocoding en Argentina/LATAM sin billing — pero eso es una investigación aparte, no algo para resolver en esta propuesta.</w:t>
      </w:r>
    </w:p>
    <w:p>
      <w:pPr>
        <w:pStyle w:val="Heading1"/>
        <w:spacing w:after="120" w:before="260"/>
      </w:pPr>
      <w:r>
        <w:t xml:space="preserve">6. Tabla de decisiones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50"/>
        <w:gridCol w:w="3500"/>
      </w:tblGrid>
      <w:t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Ref.</w:t>
            </w:r>
          </w:p>
        </w:tc>
        <w:tc>
          <w:tcPr>
            <w:tcW w:type="dxa" w:w="51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Observación / Decisión</w:t>
            </w:r>
          </w:p>
        </w:tc>
        <w:tc>
          <w:tcPr>
            <w:tcW w:type="dxa" w:w="3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O-1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Aprobar la secuencia en dos fases</w:t>
            </w:r>
          </w:p>
        </w:tc>
        <w:tc>
          <w:tcPr>
            <w:tcW w:type="dxa" w:w="3500"/>
            <w:shd w:fill="E6F4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 por Leo y Hernán (15/09)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O-2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Elegir proveedor de geocoding (Google vs. Nominatim)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discusión — recomendación: Google (§5)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O-3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Corregir el duplicado de "Avellaneda" antes de la Fase 2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 — Hernán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O-4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Definir el criterio de "cuándo cae al fallback"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 — Hernán, Leonel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O-5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Armar la HU con subtareas para la Fase 2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 — Matías</w:t>
            </w:r>
          </w:p>
        </w:tc>
      </w:tr>
    </w:tbl>
    <w:p>
      <w:pPr>
        <w:pStyle w:val="Heading1"/>
        <w:spacing w:after="120" w:before="260"/>
      </w:pPr>
      <w:r>
        <w:t xml:space="preserve">Nota de versión</w:t>
      </w:r>
    </w:p>
    <w:p>
      <w:pPr>
        <w:spacing w:after="120" w:before="100"/>
      </w:pPr>
      <w:r>
        <w:rPr>
          <w:b/>
          <w:bCs/>
          <w:sz w:val="21"/>
          <w:szCs w:val="21"/>
        </w:rPr>
        <w:t xml:space="preserve">v1.2 — 15 de septiembre de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cambió</w:t>
            </w:r>
          </w:p>
        </w:tc>
        <w:tc>
          <w:tcPr>
            <w:tcW w:type="dxa" w:w="51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Comparación Google vs. Nominatim (§5)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Leo y Hernán propusieron proveedores distintos en Jira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O-1 confirmado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Ambos coincidieron con la secuencia de dos fases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agregó §4 (fuera de alcance)</w:t>
            </w:r>
          </w:p>
        </w:tc>
        <w:tc>
          <w:tcPr>
            <w:tcW w:type="dxa" w:w="5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Leo pidió priorizar el frente RAG este sprint</w:t>
            </w:r>
          </w:p>
        </w:tc>
      </w:tr>
    </w:tbl>
    <w:p>
      <w:pPr>
        <w:spacing w:before="220"/>
      </w:pPr>
    </w:p>
    <w:p>
      <w:r>
        <w:rPr>
          <w:b/>
          <w:bCs/>
          <w:sz w:val="20"/>
          <w:szCs w:val="20"/>
        </w:rPr>
        <w:t xml:space="preserve">Documentos relacionados: </w:t>
      </w:r>
      <w:hyperlink w:history="1" r:id="rIdjze9k1hhkfaahewpiuuzm">
        <w:r>
          <w:rPr>
            <w:rStyle w:val="Hyperlink"/>
            <w:color w:val="1155CC"/>
            <w:u w:val="single"/>
          </w:rPr>
          <w:t xml:space="preserve">REP-2500</w:t>
        </w:r>
      </w:hyperlink>
      <w:r>
        <w:rPr>
          <w:sz w:val="20"/>
          <w:szCs w:val="20"/>
        </w:rPr>
        <w:t xml:space="preserve"> · REP-2500_resolucion-locality-id.docx (v1.0, 14/09) · REP-2908-VERIF_devolucion-a-hernan.docx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rtmc7qbpjzkjyja340be" Type="http://schemas.openxmlformats.org/officeDocument/2006/relationships/hyperlink" Target="https://unlz2026.atlassian.net/browse/REP-2500" TargetMode="External"/><Relationship Id="rIdrazwa8ixr25oxt8lt8m0o" Type="http://schemas.openxmlformats.org/officeDocument/2006/relationships/hyperlink" Target="https://unlz2026.atlassian.net/browse/REP-2500" TargetMode="External"/><Relationship Id="rIdjze9k1hhkfaahewpiuuzm" Type="http://schemas.openxmlformats.org/officeDocument/2006/relationships/hyperlink" Target="https://unlz2026.atlassian.net/browse/REP-250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2026-09-15T13:44:54.999Z</dcterms:created>
  <dcterms:modified xsi:type="dcterms:W3CDTF">2026-09-15T13:44:55.000Z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