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Reportalo</w:t>
      </w:r>
    </w:p>
    <w:p>
      <w:pPr>
        <w:spacing w:after="240"/>
      </w:pPr>
      <w:r>
        <w:rPr>
          <w:i/>
          <w:iCs/>
          <w:color w:val="555555"/>
          <w:sz w:val="22"/>
          <w:szCs w:val="22"/>
        </w:rPr>
        <w:t xml:space="preserve">Plataforma de Auditoría Ciudadana</w:t>
      </w:r>
    </w:p>
    <w:p>
      <w:pPr>
        <w:spacing w:after="140"/>
      </w:pPr>
      <w:r>
        <w:rPr>
          <w:b/>
          <w:bCs/>
          <w:sz w:val="27"/>
          <w:szCs w:val="27"/>
        </w:rPr>
        <w:t xml:space="preserve">DEVOLUCIÓN — RESPUESTA A LA SEGUNDA RONDA DE HERNÁN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Versión 2.0 · 15 de septiembre de 2026 · Construcción · Proyecto RAR-2026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Responde a: </w:t>
      </w:r>
      <w:r>
        <w:rPr>
          <w:sz w:val="20"/>
          <w:szCs w:val="20"/>
        </w:rPr>
        <w:t xml:space="preserve">REP-2908-VERIF_ronda2_hernan.md (Hernán, 15/09)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Jira: </w:t>
      </w:r>
      <w:hyperlink w:history="1" r:id="rIduq4w0ql9llrznuxccbctk">
        <w:r>
          <w:rPr>
            <w:rStyle w:val="Hyperlink"/>
            <w:color w:val="1155CC"/>
            <w:u w:val="single"/>
          </w:rPr>
          <w:t xml:space="preserve">REP-2908</w:t>
        </w:r>
      </w:hyperlink>
      <w:r>
        <w:rPr>
          <w:sz w:val="20"/>
          <w:szCs w:val="20"/>
        </w:rPr>
        <w:t xml:space="preserve"> · </w:t>
      </w:r>
      <w:hyperlink w:history="1" r:id="rIdhv8j4cehzwqn6zrtawvje">
        <w:r>
          <w:rPr>
            <w:rStyle w:val="Hyperlink"/>
            <w:color w:val="1155CC"/>
            <w:u w:val="single"/>
          </w:rPr>
          <w:t xml:space="preserve">REP-2909</w:t>
        </w:r>
      </w:hyperlink>
      <w:r>
        <w:rPr>
          <w:sz w:val="20"/>
          <w:szCs w:val="20"/>
        </w:rPr>
        <w:t xml:space="preserve"> · </w:t>
      </w:r>
      <w:hyperlink w:history="1" r:id="rIdjr3i8j7vecxtt0dz0tlv9">
        <w:r>
          <w:rPr>
            <w:rStyle w:val="Hyperlink"/>
            <w:color w:val="1155CC"/>
            <w:u w:val="single"/>
          </w:rPr>
          <w:t xml:space="preserve">REP-2500</w:t>
        </w:r>
      </w:hyperlink>
    </w:p>
    <w:p>
      <w:pPr>
        <w:spacing w:after="100"/>
      </w:pPr>
      <w:r>
        <w:rPr>
          <w:b/>
          <w:bCs/>
          <w:sz w:val="20"/>
          <w:szCs w:val="20"/>
        </w:rPr>
        <w:t xml:space="preserve">Equipo: </w:t>
      </w:r>
      <w:r>
        <w:rPr>
          <w:sz w:val="20"/>
          <w:szCs w:val="20"/>
        </w:rPr>
        <w:t xml:space="preserve">Hernán Gregorini (PO · DBA) · Leonel Nuñez (PM / Scrum Master) · Matías Krepchuk (Líder Técnico · UX/UI) · Iván Juárez (QA · UX/UI)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Consultor Especialista: </w:t>
      </w:r>
      <w:r>
        <w:rPr>
          <w:sz w:val="20"/>
          <w:szCs w:val="20"/>
        </w:rPr>
        <w:t xml:space="preserve">Carlos Ruiz (auditor externo · asesoría metodológica)</w:t>
      </w:r>
    </w:p>
    <w:p>
      <w:pPr>
        <w:pBdr>
          <w:left w:val="single" w:color="999999" w:sz="18" w:space="8"/>
        </w:pBdr>
        <w:spacing w:after="180"/>
      </w:pPr>
      <w:r>
        <w:rPr>
          <w:b/>
          <w:bCs/>
          <w:sz w:val="20"/>
          <w:szCs w:val="20"/>
        </w:rPr>
        <w:t xml:space="preserve">Propósito. </w:t>
      </w:r>
      <w:r>
        <w:rPr>
          <w:sz w:val="20"/>
          <w:szCs w:val="20"/>
        </w:rPr>
        <w:t xml:space="preserve">Responder punto por punto a la segunda ronda de Hernán: qué se cerró con evidencia, qué queda parcial y por qué, y qué acciones le quedan a Matías fuera de este documento.</w:t>
      </w:r>
    </w:p>
    <w:p>
      <w:pPr>
        <w:pStyle w:val="Heading1"/>
        <w:spacing w:after="120" w:before="260"/>
      </w:pPr>
      <w:r>
        <w:t xml:space="preserve">1. Resumen de estado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200"/>
        <w:gridCol w:w="4050"/>
      </w:tblGrid>
      <w:tr>
        <w:tc>
          <w:tcPr>
            <w:tcW w:type="dxa" w:w="7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Tema</w:t>
            </w:r>
          </w:p>
        </w:tc>
        <w:tc>
          <w:tcPr>
            <w:tcW w:type="dxa" w:w="1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Prio.</w:t>
            </w:r>
          </w:p>
        </w:tc>
        <w:tc>
          <w:tcPr>
            <w:tcW w:type="dxa" w:w="405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V-01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Clave service_role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050"/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V-02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Backup en Git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050"/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V-03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Seguridad heredada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V-04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Seeds demo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050"/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Cerrado (falta el PR)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V-05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Migraciones y PR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V-06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Mismo embedding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4050"/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V-07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Punta a punta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050"/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V-08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Reintentos y presupuesto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V-09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Casos A–F × 5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4050"/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Cerrado (corrección aplicada)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V-10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Caso 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4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Decisión de Hernán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V-11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Modelo y parámetros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050"/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V-12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Clave de Gemini en frontend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050"/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V-13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Jira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4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Pendiente (Matías)</w:t>
            </w:r>
          </w:p>
        </w:tc>
      </w:tr>
    </w:tbl>
    <w:p>
      <w:pPr>
        <w:spacing w:after="150"/>
      </w:pPr>
    </w:p>
    <w:p>
      <w:pPr>
        <w:spacing w:after="140"/>
      </w:pPr>
      <w:r>
        <w:rPr>
          <w:b/>
          <w:bCs/>
          <w:sz w:val="20"/>
          <w:szCs w:val="20"/>
        </w:rPr>
        <w:t xml:space="preserve">Los 3 PR de V-01/V-02/V-03 ya están mergeados en staging (#62, #63, #64). Falta abrir y mergear el de V-04.</w:t>
      </w:r>
    </w:p>
    <w:p>
      <w:pPr>
        <w:pStyle w:val="Heading1"/>
        <w:spacing w:after="120" w:before="260"/>
      </w:pPr>
      <w:r>
        <w:t xml:space="preserve">2. Las tres correcciones de Hernán a nuestro documento anterior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4350"/>
      </w:tblGrid>
      <w:tr>
        <w:tc>
          <w:tcPr>
            <w:tcW w:type="dxa" w:w="7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3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Corrección de Hernán</w:t>
            </w:r>
          </w:p>
        </w:tc>
        <w:tc>
          <w:tcPr>
            <w:tcW w:type="dxa" w:w="435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C-1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consulta de V-01 no revisaba triggers</w:t>
            </w:r>
          </w:p>
        </w:tc>
        <w:tc>
          <w:tcPr>
            <w:tcW w:type="dxa" w:w="4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Corregida y corrida — ver §3, V-01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C-2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PR va contra staging, no develop</w:t>
            </w:r>
          </w:p>
        </w:tc>
        <w:tc>
          <w:tcPr>
            <w:tcW w:type="dxa" w:w="4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Los 4 PR de esta ronda fueron contra staging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C-3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duplicado de "Avellaneda" no es un error</w:t>
            </w:r>
          </w:p>
        </w:tc>
        <w:tc>
          <w:tcPr>
            <w:tcW w:type="dxa" w:w="4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Aceptado — ya no se trata como hallazgo</w:t>
            </w:r>
          </w:p>
        </w:tc>
      </w:tr>
    </w:tbl>
    <w:p>
      <w:pPr>
        <w:pStyle w:val="Heading1"/>
        <w:spacing w:after="120" w:before="260"/>
      </w:pPr>
      <w:r>
        <w:t xml:space="preserve">3. Detalle por punto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V-01 · Clave service_role — Cerrado</w:t>
      </w:r>
    </w:p>
    <w:p>
      <w:pPr>
        <w:spacing w:after="140"/>
      </w:pPr>
      <w:r>
        <w:rPr>
          <w:sz w:val="20"/>
          <w:szCs w:val="20"/>
        </w:rPr>
        <w:t xml:space="preserve">Corrida la consulta corregida (C-1), que ahora revisa pg_trigger. Único resultado:</w:t>
      </w:r>
    </w:p>
    <w:p>
      <w:pPr>
        <w:shd w:fill="F0F0F0" w:val="clear"/>
        <w:spacing w:after="140"/>
      </w:pPr>
      <w:r>
        <w:rPr>
          <w:rFonts w:ascii="Consolas" w:cs="Consolas" w:eastAsia="Consolas" w:hAnsi="Consolas"/>
          <w:sz w:val="18"/>
          <w:szCs w:val="18"/>
        </w:rPr>
        <w:t xml:space="preserve">trigger | infractions | audit_ia</w:t>
      </w:r>
    </w:p>
    <w:p>
      <w:pPr>
        <w:spacing w:after="140"/>
      </w:pPr>
      <w:r>
        <w:rPr>
          <w:sz w:val="20"/>
          <w:szCs w:val="20"/>
        </w:rPr>
        <w:t xml:space="preserve">Exactamente el criterio de cierre de Hernán. Trigger desactivado sin borrar. Claves legacy deshabilitadas, migradas a secret keys modernas.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V-02 · Backup en Git — Cerrado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Repositorio público (verificado directamente en GitHub).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Datos personales: username (email real) y full_name de profiles; contact_value/channel de agency_contacts. Todo del equipo, ninguno de ciudadanos.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Camino tomado: repositorio público → limpieza completa del historial (git filter-repo + push --force), con OK explícito y aviso previo al equipo.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Verificado: git ls-files supabase/backups/ da 0 en working tree y en origin/staging.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Backup movido fuera del repositorio, acceso restringido.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V-03 · Seguridad heredada — Parcial</w:t>
      </w:r>
    </w:p>
    <w:p>
      <w:pPr>
        <w:spacing w:after="140"/>
      </w:pPr>
      <w:r>
        <w:rPr>
          <w:sz w:val="20"/>
          <w:szCs w:val="20"/>
        </w:rPr>
        <w:t xml:space="preserve">17 tablas con RLS sin política (embedding_models, fragment_embeddings y generation_models ya confirmadas como esperables por Hernán): agencies, agency_contacts, agency_subscriptions, countries, infraction_attribute_responses, infraction_types, profile_services, profiles, report_events, report_outreach_logs, report_state_history, service_attribute_values, service_attributes, states_provinces (+ las 3 confirmadas).</w:t>
      </w:r>
    </w:p>
    <w:p>
      <w:pPr>
        <w:spacing w:after="140"/>
      </w:pPr>
      <w:r>
        <w:rPr>
          <w:sz w:val="20"/>
          <w:szCs w:val="20"/>
        </w:rPr>
        <w:t xml:space="preserve">search_path corregido en las 10 funciones — verificado, el aviso ya no aparece. Extensión vector en public: sin cambios, por instrucción explícita de Hernán.</w:t>
      </w:r>
    </w:p>
    <w:p>
      <w:pPr>
        <w:pBdr>
          <w:left w:val="single" w:color="999999" w:sz="18" w:space="8"/>
        </w:pBdr>
        <w:spacing w:after="180"/>
      </w:pPr>
      <w:r>
        <w:rPr>
          <w:b/>
          <w:bCs/>
          <w:sz w:val="20"/>
          <w:szCs w:val="20"/>
        </w:rPr>
        <w:t xml:space="preserve">Pendiente. </w:t>
      </w:r>
      <w:r>
        <w:rPr>
          <w:sz w:val="20"/>
          <w:szCs w:val="20"/>
        </w:rPr>
        <w:t xml:space="preserve">Que Hernán clasifique las 14 tablas restantes, y activar "Leaked Password Protection" (toggle del dashboard, le queda a Matías).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V-04 · Seeds demo — Cerrado (falta el PR)</w:t>
      </w:r>
    </w:p>
    <w:p>
      <w:pPr>
        <w:spacing w:after="140"/>
      </w:pPr>
      <w:r>
        <w:rPr>
          <w:sz w:val="20"/>
          <w:szCs w:val="20"/>
        </w:rPr>
        <w:t xml:space="preserve">6 usuarios creados en Auth por Matías desde su terminal. PARTES 3 y 4 corridas. PARTE 8: citizen_reports y report_state_history en OK; profiles/terms_consents en REVISAR pero esperable (cuentas reales preexistentes).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1900"/>
        <w:gridCol w:w="1500"/>
        <w:gridCol w:w="1150"/>
        <w:gridCol w:w="1000"/>
        <w:gridCol w:w="1000"/>
      </w:tblGrid>
      <w:tr>
        <w:tc>
          <w:tcPr>
            <w:tcW w:type="dxa" w:w="7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Rep.</w:t>
            </w:r>
          </w:p>
        </w:tc>
        <w:tc>
          <w:tcPr>
            <w:tcW w:type="dxa" w:w="21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Categoría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Localidad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115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Confianza</w:t>
            </w:r>
          </w:p>
        </w:tc>
        <w:tc>
          <w:tcPr>
            <w:tcW w:type="dxa" w:w="1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Recup.</w:t>
            </w:r>
          </w:p>
        </w:tc>
        <w:tc>
          <w:tcPr>
            <w:tcW w:type="dxa" w:w="1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Citados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TRANSITO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Retiro (CABA)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fundamentado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0.98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 Nicolás (CABA)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sin_normativa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AMBIENTE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Puerto Madero (CABA)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indeterminado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COMERCIO_IRREGULAR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Monserrat (CABA)</w:t>
            </w:r>
          </w:p>
        </w:tc>
        <w:tc>
          <w:tcPr>
            <w:tcW w:type="dxa" w:w="1500"/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sin_normativa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Retiro (CABA)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indeterminado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TRANSITO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Avellaneda (BA)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fundamentado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0.98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AMBIENTE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Sarandí (Avellaneda)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sin_normativa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VULNERABILIDAD_SOCIAL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Wilde (Avellaneda)</w:t>
            </w:r>
          </w:p>
        </w:tc>
        <w:tc>
          <w:tcPr>
            <w:tcW w:type="dxa" w:w="1500"/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sin_normativa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50"/>
      </w:pPr>
    </w:p>
    <w:p>
      <w:pPr>
        <w:pBdr>
          <w:left w:val="single" w:color="999999" w:sz="18" w:space="8"/>
        </w:pBdr>
        <w:spacing w:after="180"/>
      </w:pPr>
      <w:r>
        <w:rPr>
          <w:b/>
          <w:bCs/>
          <w:sz w:val="20"/>
          <w:szCs w:val="20"/>
        </w:rPr>
        <w:t xml:space="preserve">Confirmación clave. </w:t>
      </w:r>
      <w:r>
        <w:rPr>
          <w:sz w:val="20"/>
          <w:szCs w:val="20"/>
        </w:rPr>
        <w:t xml:space="preserve">Los reportes 4 y 8 (categorías sin corpus) dieron sin_normativa limpio, sin ningún fragmento recuperado — confirma el fix de V-09 con datos nuevos, no solo con la prueba manual.</w:t>
      </w:r>
    </w:p>
    <w:p>
      <w:pPr>
        <w:spacing w:after="140"/>
      </w:pPr>
      <w:r>
        <w:rPr>
          <w:sz w:val="20"/>
          <w:szCs w:val="20"/>
        </w:rPr>
        <w:t xml:space="preserve">Citas: todas literales y temáticamente correctas (ej. reporte 5, luminaria apagada, cita "Alumbrado público y señalamiento luminoso"). Ninguna cruza jurisdicción.</w:t>
      </w:r>
    </w:p>
    <w:p>
      <w:pPr>
        <w:pBdr>
          <w:left w:val="single" w:color="999999" w:sz="18" w:space="8"/>
        </w:pBdr>
        <w:spacing w:after="180"/>
      </w:pPr>
      <w:r>
        <w:rPr>
          <w:b/>
          <w:bCs/>
          <w:sz w:val="20"/>
          <w:szCs w:val="20"/>
        </w:rPr>
        <w:t xml:space="preserve">Pendiente. </w:t>
      </w:r>
      <w:r>
        <w:rPr>
          <w:sz w:val="20"/>
          <w:szCs w:val="20"/>
        </w:rPr>
        <w:t xml:space="preserve">Abrir el PR de la rama fix/REP-2908-VERIF-v04-seed-demo contra staging.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V-05 · Migraciones y Pull Request — Parcial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 #62 (V-01/V-06/V-07/V-08/V-09/V-11): mergeado.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 #63 (V-02): mergeado.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 #64 (V-03): mergeado.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 de V-04: pendiente de abrir.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Secretos documentados por nombre: rag_analizar_reporte_url, rag_service_role_key, GEMINI_API_KEY.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Comando de embeddings: node scripts/rag-local-dev/generate-fragment-embeddings.mjs.</w:t>
      </w:r>
    </w:p>
    <w:p>
      <w:pPr>
        <w:pBdr>
          <w:left w:val="single" w:color="999999" w:sz="18" w:space="8"/>
        </w:pBdr>
        <w:spacing w:after="180"/>
      </w:pPr>
      <w:r>
        <w:rPr>
          <w:b/>
          <w:bCs/>
          <w:sz w:val="20"/>
          <w:szCs w:val="20"/>
        </w:rPr>
        <w:t xml:space="preserve">N-02. </w:t>
      </w:r>
      <w:r>
        <w:rPr>
          <w:sz w:val="20"/>
          <w:szCs w:val="20"/>
        </w:rPr>
        <w:t xml:space="preserve">El esquema pgmq no está expuesto en la API de Supabase; sin el wrapper pgmq_delete_message, el borrado de mensajes fallaba silenciosamente y los reprocesaba para siempre. Quitar el wrapper reintroduce el bug.</w:t>
      </w:r>
    </w:p>
    <w:p>
      <w:pPr>
        <w:spacing w:after="140"/>
      </w:pPr>
      <w:r>
        <w:rPr>
          <w:sz w:val="20"/>
          <w:szCs w:val="20"/>
        </w:rPr>
        <w:t xml:space="preserve">Pendiente: probar la reconstrucción en un entorno local (supabase db reset + seeds + PARTE 8) — no se armó un entorno local en esta sesión.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V-06 y V-07 — Cerrados</w:t>
      </w:r>
    </w:p>
    <w:p>
      <w:pPr>
        <w:spacing w:after="140"/>
      </w:pPr>
      <w:r>
        <w:rPr>
          <w:sz w:val="20"/>
          <w:szCs w:val="20"/>
        </w:rPr>
        <w:t xml:space="preserve">Sin cambios respecto a la ronda anterior.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V-08 · Reintentos y presupuesto — Parcial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Máximo de intentos ajustado a 3 (propuesta de Hernán).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Wrapper de archivado corregido: tenía el mismo bug de embedding_model_code NOT NULL de V-09 — un mensaje archivado habría fallado el insert, perdiendo el registro sin dejar rastro.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Tarea de limpieza: rag-cleanup-job-run-details (diaria, 3am, &gt;7 días).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Gasto en Gemini hasta hoy: ≈ USD 0,085 en total (47 filas con generación real). Precio verificado: gemini-3.8-flash a USD 0,75/M entrada y USD 3,75/M salida hasta fin de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Costo específico de N-02: sin evidencia de reprocesamiento duplicado exitoso (cero reportes con más de un análisis). No se descarta con certeza un llamado fallido sin persistir — requiere revisar Google Cloud Billing directamente.</w:t>
      </w:r>
    </w:p>
    <w:p>
      <w:pPr>
        <w:pBdr>
          <w:left w:val="single" w:color="999999" w:sz="18" w:space="8"/>
        </w:pBdr>
        <w:spacing w:after="180"/>
      </w:pPr>
      <w:r>
        <w:rPr>
          <w:b/>
          <w:bCs/>
          <w:sz w:val="20"/>
          <w:szCs w:val="20"/>
        </w:rPr>
        <w:t xml:space="preserve">Pendiente. </w:t>
      </w:r>
      <w:r>
        <w:rPr>
          <w:sz w:val="20"/>
          <w:szCs w:val="20"/>
        </w:rPr>
        <w:t xml:space="preserve">La alerta de presupuesto en Google Cloud — acción de Matías, sin herramienta disponible desde acá.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V-09 · Casos A–F × 5 — Cerrado, con corrección aplicada</w:t>
      </w:r>
    </w:p>
    <w:p>
      <w:pPr>
        <w:spacing w:after="140"/>
      </w:pPr>
      <w:r>
        <w:rPr>
          <w:sz w:val="20"/>
          <w:szCs w:val="20"/>
        </w:rPr>
        <w:t xml:space="preserve">El Caso F fallaba 5 de 5 citando tránsito por similitud léxica. Corregido de raíz: match_knowledge_fragments ahora filtra por la categoría elegida (usa fragment_services, que ya existía sin usarse para esto). Sin fragmentos para la categoría, cae a sin_normativa sin llamar al LLM. Reverificado con 2 casos reales nuevos del seed de V-04.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V-10 — decisión de Hernán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V-11 · Modelo y parámetros — Cerrado</w:t>
      </w:r>
    </w:p>
    <w:p>
      <w:pPr>
        <w:spacing w:after="140"/>
      </w:pPr>
      <w:r>
        <w:rPr>
          <w:sz w:val="20"/>
          <w:szCs w:val="20"/>
        </w:rPr>
        <w:t xml:space="preserve">generation_models activo: gemini-3.8-flash. embedding_models activo: gemini-embedding-2@768. Sin temperature explícito, thinkingLevel: low, responseSchema presente.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450"/>
        <w:gridCol w:w="1500"/>
        <w:gridCol w:w="1500"/>
      </w:tblGrid>
      <w:tr>
        <w:tc>
          <w:tcPr>
            <w:tcW w:type="dxa" w:w="3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Modelo</w:t>
            </w:r>
          </w:p>
        </w:tc>
        <w:tc>
          <w:tcPr>
            <w:tcW w:type="dxa" w:w="17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Prompt</w:t>
            </w:r>
          </w:p>
        </w:tc>
        <w:tc>
          <w:tcPr>
            <w:tcW w:type="dxa" w:w="145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Análisis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Tokens entr. prom.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Tokens sal. prom.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(sin generación)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gemini-3.8-flash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824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335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gemini-3.8-flash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(previo a V-11)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1.253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340</w:t>
            </w:r>
          </w:p>
        </w:tc>
      </w:tr>
    </w:tbl>
    <w:p>
      <w:pPr>
        <w:spacing w:after="90" w:before="220"/>
      </w:pPr>
      <w:r>
        <w:rPr>
          <w:b/>
          <w:bCs/>
          <w:sz w:val="23"/>
          <w:szCs w:val="23"/>
        </w:rPr>
        <w:t xml:space="preserve">V-12 — Cerrado</w:t>
      </w:r>
    </w:p>
    <w:p>
      <w:pPr>
        <w:spacing w:after="140"/>
      </w:pPr>
      <w:r>
        <w:rPr>
          <w:sz w:val="20"/>
          <w:szCs w:val="20"/>
        </w:rPr>
        <w:t xml:space="preserve">Sin cambios respecto a la ronda anterior.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V-13 · Jira — Pendiente</w:t>
      </w:r>
    </w:p>
    <w:p>
      <w:pPr>
        <w:spacing w:after="140"/>
      </w:pPr>
      <w:r>
        <w:rPr>
          <w:sz w:val="20"/>
          <w:szCs w:val="20"/>
        </w:rPr>
        <w:t xml:space="preserve">Queda para Matías.</w:t>
      </w:r>
    </w:p>
    <w:p>
      <w:pPr>
        <w:pStyle w:val="Heading1"/>
        <w:spacing w:after="120" w:before="260"/>
      </w:pPr>
      <w:r>
        <w:t xml:space="preserve">4. Preguntas sin responder de la ronda anterior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c>
          <w:tcPr>
            <w:tcW w:type="dxa" w:w="4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Pregunta</w:t>
            </w:r>
          </w:p>
        </w:tc>
        <w:tc>
          <w:tcPr>
            <w:tcW w:type="dxa" w:w="515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¿Las pruebas manuales con curl guardaron filas?</w:t>
            </w:r>
          </w:p>
        </w:tc>
        <w:tc>
          <w:tcPr>
            <w:tcW w:type="dxa" w:w="5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análisis más antiguo corresponde al reporte de prueba real de V-07 — no hay filas anteriores de invocaciones manuales sueltas.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¿Por qué se regeneró la clave de Gemini?</w:t>
            </w:r>
          </w:p>
        </w:tc>
        <w:tc>
          <w:tcPr>
            <w:tcW w:type="dxa" w:w="5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 investigar — lo responde Matías.</w:t>
            </w:r>
          </w:p>
        </w:tc>
      </w:tr>
    </w:tbl>
    <w:p>
      <w:pPr>
        <w:pStyle w:val="Heading1"/>
        <w:spacing w:after="120" w:before="260"/>
      </w:pPr>
      <w:r>
        <w:t xml:space="preserve">5. Cuándo damos por cumplido el RAG del Sprint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Seguridad: V-01, V-02 cerrados. V-03 falta clasificación de 14 tablas + toggle de contraseñas.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Reproducible: V-04 cerrado (falta el PR). V-05 falta la reconstrucción en local.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Trazable: V-07 y V-09 cerrados. V-08 falta solo la alerta de presupuesto.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Sin inventar: confirmado en los 8 análisis demo y en las 35 corridas de V-09.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Controlado: V-11 cerrado.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Registrado: V-13 pendiente.</w:t>
      </w:r>
    </w:p>
    <w:p>
      <w:pPr>
        <w:spacing w:before="220"/>
      </w:pPr>
    </w:p>
    <w:p>
      <w:r>
        <w:rPr>
          <w:b/>
          <w:bCs/>
          <w:sz w:val="20"/>
          <w:szCs w:val="20"/>
        </w:rPr>
        <w:t xml:space="preserve">Documentos relacionados: </w:t>
      </w:r>
      <w:hyperlink w:history="1" r:id="rId7i7nfcmq2mro_zcdfyo6a">
        <w:r>
          <w:rPr>
            <w:rStyle w:val="Hyperlink"/>
            <w:color w:val="1155CC"/>
            <w:u w:val="single"/>
          </w:rPr>
          <w:t xml:space="preserve">REP-2908</w:t>
        </w:r>
      </w:hyperlink>
      <w:r>
        <w:rPr>
          <w:sz w:val="20"/>
          <w:szCs w:val="20"/>
        </w:rPr>
        <w:t xml:space="preserve"> · REP-2908-VERIF_ronda2_hernan.md · REP-2908-VERIF_devolucion-a-hernan.docx (v1.1)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q4w0ql9llrznuxccbctk" Type="http://schemas.openxmlformats.org/officeDocument/2006/relationships/hyperlink" Target="https://unlz2026.atlassian.net/browse/REP-2908" TargetMode="External"/><Relationship Id="rIdhv8j4cehzwqn6zrtawvje" Type="http://schemas.openxmlformats.org/officeDocument/2006/relationships/hyperlink" Target="https://unlz2026.atlassian.net/browse/REP-2909" TargetMode="External"/><Relationship Id="rIdjr3i8j7vecxtt0dz0tlv9" Type="http://schemas.openxmlformats.org/officeDocument/2006/relationships/hyperlink" Target="https://unlz2026.atlassian.net/browse/REP-2500" TargetMode="External"/><Relationship Id="rId7i7nfcmq2mro_zcdfyo6a" Type="http://schemas.openxmlformats.org/officeDocument/2006/relationships/hyperlink" Target="https://unlz2026.atlassian.net/browse/REP-2908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2026-09-15T19:18:05.486Z</dcterms:created>
  <dcterms:modified xsi:type="dcterms:W3CDTF">2026-09-15T19:18:05.487Z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