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4332"/>
          <w:sz w:val="40"/>
          <w:szCs w:val="40"/>
        </w:rPr>
        <w:t xml:space="preserve">REP-3795 · Informe de cierre y guía de pruebas</w:t>
      </w:r>
    </w:p>
    <w:p>
      <w:pPr>
        <w:spacing w:after="40"/>
      </w:pPr>
      <w:r>
        <w:rPr>
          <w:i/>
          <w:iCs/>
          <w:color w:val="5F5F5F"/>
          <w:sz w:val="26"/>
          <w:szCs w:val="26"/>
        </w:rPr>
        <w:t xml:space="preserve">Inconsistencias del RAG textual — para revisión técnica de Hernán y QA de Iván</w:t>
      </w:r>
    </w:p>
    <w:p>
      <w:pPr>
        <w:spacing w:after="300"/>
      </w:pPr>
      <w:r>
        <w:rPr>
          <w:color w:val="5F5F5F"/>
          <w:sz w:val="19"/>
          <w:szCs w:val="19"/>
        </w:rPr>
        <w:t xml:space="preserve">28 de septiembre de 2026 · Rama fix/REP-3795-inconsistencias-rag-textual, pusheada · https://unlz2026.atlassian.net/browse/REP-3795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Estado: </w:t>
      </w:r>
      <w:r>
        <w:rPr>
          <w:sz w:val="21"/>
          <w:szCs w:val="21"/>
        </w:rPr>
        <w:t xml:space="preserve">código y evidencia completos, rama pusheada, lista para Pull Request. </w:t>
      </w:r>
      <w:r>
        <w:rPr>
          <w:b/>
          <w:bCs/>
          <w:sz w:val="21"/>
          <w:szCs w:val="21"/>
        </w:rPr>
        <w:t xml:space="preserve">No se puede pasar a Done sin la revisión técnica de Hernán y la QA independiente de Iván (vía REP-3784)</w:t>
      </w:r>
      <w:r>
        <w:rPr>
          <w:sz w:val="21"/>
          <w:szCs w:val="21"/>
        </w:rPr>
        <w:t xml:space="preserve"> — eso es lo que este documento les pide.</w:t>
      </w:r>
    </w:p>
    <w:p>
      <w:pPr>
        <w:pStyle w:val="Heading1"/>
        <w:pBdr>
          <w:bottom w:val="single" w:color="1B4332" w:sz="6" w:space="4"/>
        </w:pBdr>
        <w:spacing w:after="160" w:before="360"/>
      </w:pPr>
      <w:r>
        <w:rPr>
          <w:b/>
          <w:bCs/>
          <w:color w:val="1B4332"/>
          <w:sz w:val="30"/>
          <w:szCs w:val="30"/>
        </w:rPr>
        <w:t xml:space="preserve">1. Qué se arregló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00"/>
        <w:gridCol w:w="264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Punto</w:t>
            </w:r>
          </w:p>
        </w:tc>
        <w:tc>
          <w:tcPr>
            <w:tcW w:type="dxa" w:w="51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264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4 · Vulnerabilidad social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Corte antes de vectorizar/consultar a Gemini: si la categoría es VULNERABILIDAD_SOCIAL, estado "asistencia" directo. Costo cero.</w:t>
            </w:r>
          </w:p>
        </w:tc>
        <w:tc>
          <w:tcPr>
            <w:tcW w:type="dxa" w:w="2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Bug propio encontrado y corregido en la sesión: faltaba un campo NOT NULL y el análisis no se guardaba. Corregido y re-verificado.</w:t>
            </w:r>
          </w:p>
        </w:tc>
      </w:tr>
      <w:tr>
        <w:tc>
          <w:tcPr>
            <w:tcW w:type="dxa" w:w="24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5 · Temperatura y precisión</w:t>
            </w:r>
          </w:p>
        </w:tc>
        <w:tc>
          <w:tcPr>
            <w:tcW w:type="dxa" w:w="51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temperature: 0 (antes en el default de la API) + regla nueva de prompt: no exigir más precisión que la que pide la norma citada.</w:t>
            </w:r>
          </w:p>
        </w:tc>
        <w:tc>
          <w:tcPr>
            <w:tcW w:type="dxa" w:w="264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Confirmado con evidencia real: 3 textos que antes daban resultados distintos ahora dan siempre el mismo estado, en 5/5 corridas cada uno.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6 · Categoría sin corpus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Descartado. La primera versión (buscar sin filtro de categoría) reproducía un bug ya resuelto ("Caso F"). Revertido antes de commitear.</w:t>
            </w:r>
          </w:p>
        </w:tc>
        <w:tc>
          <w:tcPr>
            <w:tcW w:type="dxa" w:w="26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alternativa segura implementada todavía — queda fuera de esta rama.</w:t>
            </w:r>
          </w:p>
        </w:tc>
      </w:tr>
    </w:tbl>
    <w:p>
      <w:pPr>
        <w:pStyle w:val="Heading1"/>
        <w:pBdr>
          <w:bottom w:val="single" w:color="1B4332" w:sz="6" w:space="4"/>
        </w:pBdr>
        <w:spacing w:after="160" w:before="360"/>
      </w:pPr>
      <w:r>
        <w:rPr>
          <w:b/>
          <w:bCs/>
          <w:color w:val="1B4332"/>
          <w:sz w:val="30"/>
          <w:szCs w:val="30"/>
        </w:rPr>
        <w:t xml:space="preserve">2. Evidencia — P-01 completo (31 corridas reales, temperature 0)</w:t>
      </w:r>
    </w:p>
    <w:p>
      <w:pPr>
        <w:spacing w:after="160" w:line="276"/>
      </w:pPr>
      <w:r>
        <w:rPr>
          <w:sz w:val="21"/>
          <w:szCs w:val="21"/>
        </w:rPr>
        <w:t xml:space="preserve">Contra una copia aislada de la función (no afecta staging/producción), con reportes de prueba reales, replicando la matriz original de REP-2908-VERIF ronda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740"/>
      </w:tblGrid>
      <w:tr>
        <w:trPr>
          <w:tblHeader/>
        </w:trPr>
        <w:tc>
          <w:tcPr>
            <w:tcW w:type="dxa" w:w="3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</w:t>
            </w:r>
          </w:p>
        </w:tc>
        <w:tc>
          <w:tcPr>
            <w:tcW w:type="dxa" w:w="3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374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Jurisdicción de los fragmentos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· Avellaneda / Infraestructura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5/5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Const. PBA + LOM — nunca CABA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 · CABA / Tránsito</w:t>
            </w:r>
          </w:p>
        </w:tc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5/5</w:t>
            </w:r>
          </w:p>
        </w:tc>
        <w:tc>
          <w:tcPr>
            <w:tcW w:type="dxa" w:w="374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Ley 2148/451 (CABA) — nunca Ley 24.449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 control · Avellaneda / Tránsito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5/5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Ley 24.449 — nunca normas de CABA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D-Av · Avellaneda / Infraestructura</w:t>
            </w:r>
          </w:p>
        </w:tc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5/5</w:t>
            </w:r>
          </w:p>
        </w:tc>
        <w:tc>
          <w:tcPr>
            <w:tcW w:type="dxa" w:w="374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LOM arts. 52/59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D-CABA · CABA / Infraestructura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5/5 (antes: 3/5 + 2/5 asistencia, inconsistente)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Ley 210 (CABA) — nunca Ley 24.449</w:t>
            </w:r>
          </w:p>
        </w:tc>
      </w:tr>
      <w:tr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 · Avellaneda / Tránsito</w:t>
            </w:r>
          </w:p>
        </w:tc>
        <w:tc>
          <w:tcPr>
            <w:tcW w:type="dxa" w:w="32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5/5</w:t>
            </w:r>
          </w:p>
        </w:tc>
        <w:tc>
          <w:tcPr>
            <w:tcW w:type="dxa" w:w="374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Ley 24.449 arts. 48/49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Prueba1 · CABA, categoría errónea (Infraestructura en vez de Tránsito)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sin_normativa 1/1, 0 citas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Recuperó Ley 210 pero no citó — abstención correcta</w:t>
            </w:r>
          </w:p>
        </w:tc>
      </w:tr>
    </w:tbl>
    <w:p>
      <w:pPr>
        <w:spacing w:after="160" w:line="276"/>
      </w:pPr>
      <w:r>
        <w:rPr>
          <w:b/>
          <w:bCs/>
          <w:sz w:val="21"/>
          <w:szCs w:val="21"/>
        </w:rPr>
        <w:t xml:space="preserve">Los 4 criterios de cierre de Hernán se cumplen: </w:t>
      </w:r>
      <w:r>
        <w:rPr>
          <w:sz w:val="21"/>
          <w:szCs w:val="21"/>
        </w:rPr>
        <w:t xml:space="preserve">ninguna cita fuera de lo recuperado ni no literal; C nunca recupera normas de CABA; B y D-CABA nunca recuperan la Ley 24.449; no se repitió el bug de citar el art. 48 inc. t) en un caso de categoría errónea.</w:t>
      </w:r>
    </w:p>
    <w:p>
      <w:pPr>
        <w:pStyle w:val="Heading1"/>
        <w:pBdr>
          <w:bottom w:val="single" w:color="1B4332" w:sz="6" w:space="4"/>
        </w:pBdr>
        <w:spacing w:after="160" w:before="360"/>
      </w:pPr>
      <w:r>
        <w:rPr>
          <w:b/>
          <w:bCs/>
          <w:color w:val="1B4332"/>
          <w:sz w:val="30"/>
          <w:szCs w:val="30"/>
        </w:rPr>
        <w:t xml:space="preserve">3. Evidencia — casos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40"/>
      </w:tblGrid>
      <w:tr>
        <w:trPr>
          <w:tblHeader/>
        </w:trPr>
        <w:tc>
          <w:tcPr>
            <w:tcW w:type="dxa" w:w="3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554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Vulnerabilidad social (2 casos)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asistencia, 0 citas, 0 recuperados, sin llamada a Gemini de generación</w:t>
            </w:r>
          </w:p>
        </w:tc>
      </w:tr>
      <w:tr>
        <w:tc>
          <w:tcPr>
            <w:tcW w:type="dxa" w:w="3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Categoría errónea (1 caso)</w:t>
            </w:r>
          </w:p>
        </w:tc>
        <w:tc>
          <w:tcPr>
            <w:tcW w:type="dxa" w:w="554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sin_normativa, 0 citas — el LLM explicó por qué ninguno de los 4 fragmentos recuperados aplica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Corpus insuficiente (1 caso)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sin_normativa, 0 recuperados, sin llamada a Gemini de generación</w:t>
            </w:r>
          </w:p>
        </w:tc>
      </w:tr>
      <w:tr>
        <w:tc>
          <w:tcPr>
            <w:tcW w:type="dxa" w:w="360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Consistencia (3 textos × 5 corridas)</w:t>
            </w:r>
          </w:p>
        </w:tc>
        <w:tc>
          <w:tcPr>
            <w:tcW w:type="dxa" w:w="5540"/>
            <w:shd w:fill="F2F5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en las 15 corridas — antes daban resultados mezclados con el mismo texto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 positivo (1 caso × 3 corridas)</w:t>
            </w:r>
          </w:p>
        </w:tc>
        <w:tc>
          <w:tcPr>
            <w:tcW w:type="dxa" w:w="55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fundamentado en las 3, Ley 24.449 visible — confirma que no se rompió lo que ya andaba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B4332" w:sz="6" w:space="4"/>
        </w:pBdr>
        <w:spacing w:after="160" w:before="360"/>
      </w:pPr>
      <w:r>
        <w:rPr>
          <w:b/>
          <w:bCs/>
          <w:color w:val="1B4332"/>
          <w:sz w:val="30"/>
          <w:szCs w:val="30"/>
        </w:rPr>
        <w:t xml:space="preserve">4. Dos preguntas para que Hernán e Iván corroboren</w:t>
      </w:r>
    </w:p>
    <w:p>
      <w:pPr>
        <w:pStyle w:val="Heading2"/>
        <w:spacing w:after="120" w:before="280"/>
      </w:pPr>
      <w:r>
        <w:rPr>
          <w:b/>
          <w:bCs/>
          <w:color w:val="1B4332"/>
          <w:sz w:val="24"/>
          <w:szCs w:val="24"/>
        </w:rPr>
        <w:t xml:space="preserve">4.1 "El texto parece escrito por Gemini, no por el RAG"</w:t>
      </w:r>
    </w:p>
    <w:p>
      <w:pPr>
        <w:spacing w:after="160" w:line="276"/>
      </w:pPr>
      <w:r>
        <w:rPr>
          <w:sz w:val="21"/>
          <w:szCs w:val="21"/>
        </w:rPr>
        <w:t xml:space="preserve">El texto que ve el ciudadano (fundamento_ciudadano) siempre es una paráfrasis en lenguaje llano — es el diseño original (REP-1009), no algo de esta rama. Lo que garantiza que no esté inventado es un control aparte: cada cita se valida server-side como substring literal del fragmento recuperado. Se confirmó a mano contra la base que las citas usadas en las pruebas son literales.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7"/>
          <w:szCs w:val="17"/>
        </w:rPr>
        <w:t xml:space="preserve">Ejemplo real (caso de control, Avellaneda):</w:t>
      </w:r>
      <w:r>
        <w:rPr>
          <w:rFonts w:ascii="Consolas" w:cs="Consolas" w:eastAsia="Consolas" w:hAnsi="Consolas"/>
          <w:sz w:val="17"/>
          <w:szCs w:val="17"/>
        </w:rPr>
        <w:br/>
        <w:t xml:space="preserve">Cita guardada: "Estorbar u obstaculizar de cualquier forma la calzada"</w:t>
      </w:r>
      <w:r>
        <w:rPr>
          <w:rFonts w:ascii="Consolas" w:cs="Consolas" w:eastAsia="Consolas" w:hAnsi="Consolas"/>
          <w:sz w:val="17"/>
          <w:szCs w:val="17"/>
        </w:rPr>
        <w:br/>
        <w:t xml:space="preserve">Fragmento real (Ley 24.449 art. 48 inc. t): coincide literal.</w:t>
      </w:r>
    </w:p>
    <w:p>
      <w:pPr>
        <w:spacing w:after="160" w:line="276"/>
      </w:pPr>
      <w:r>
        <w:rPr>
          <w:sz w:val="21"/>
          <w:szCs w:val="21"/>
        </w:rPr>
        <w:t xml:space="preserve">Pregunta: ¿este comportamiento (paráfrasis + cita literal validada aparte) es el esperado, o el criterio cambió desde REP-1009?</w:t>
      </w:r>
    </w:p>
    <w:p>
      <w:pPr>
        <w:pStyle w:val="Heading2"/>
        <w:spacing w:after="120" w:before="280"/>
      </w:pPr>
      <w:r>
        <w:rPr>
          <w:b/>
          <w:bCs/>
          <w:color w:val="1B4332"/>
          <w:sz w:val="24"/>
          <w:szCs w:val="24"/>
        </w:rPr>
        <w:t xml:space="preserve">4.2 "En algunos reportes se ve la ley citada y en otros no"</w:t>
      </w:r>
    </w:p>
    <w:p>
      <w:pPr>
        <w:spacing w:after="160" w:line="276"/>
      </w:pPr>
      <w:r>
        <w:rPr>
          <w:sz w:val="21"/>
          <w:szCs w:val="21"/>
        </w:rPr>
        <w:t xml:space="preserve">Confirmado con datos reales: en CABA, para "mal estacionado" en general, el único fragmento que cubre el caso es de tipo sanción (Ley 451 art. 6.1.52) — y la pantalla oculta a propósito cualquier fragmento marcado como sanción (regla CA-03, REP-3789). En Avellaneda los fragmentos son de tipo "conducta_prohibida" y sí se muestran. El fundamento existe y está bien citado en los dos casos; lo que cambia es si la pantalla lo expone.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Esto es el Punto 2 del diagnóstico original, ya asignado a REP-3796 </w:t>
      </w:r>
      <w:r>
        <w:rPr>
          <w:sz w:val="21"/>
          <w:szCs w:val="21"/>
        </w:rPr>
        <w:t xml:space="preserve">(pendiente, necesita que Hernán decida como PO si se puede mostrar el nombre del artículo de sanción sin el monto). No es un defecto de REP-3795.</w:t>
      </w:r>
    </w:p>
    <w:p>
      <w:pPr>
        <w:spacing w:after="160" w:line="276"/>
      </w:pPr>
      <w:r>
        <w:rPr>
          <w:sz w:val="21"/>
          <w:szCs w:val="21"/>
        </w:rPr>
        <w:t xml:space="preserve">Pregunta para Hernán: ¿confirma que la falta de prohibiciones puras (no-sanción) para "mal estacionado" general en CABA es parte de lo que cubre REP-3797?</w:t>
      </w:r>
    </w:p>
    <w:p>
      <w:pPr>
        <w:pStyle w:val="Heading1"/>
        <w:pBdr>
          <w:bottom w:val="single" w:color="1B4332" w:sz="6" w:space="4"/>
        </w:pBdr>
        <w:spacing w:after="160" w:before="360"/>
      </w:pPr>
      <w:r>
        <w:rPr>
          <w:b/>
          <w:bCs/>
          <w:color w:val="1B4332"/>
          <w:sz w:val="30"/>
          <w:szCs w:val="30"/>
        </w:rPr>
        <w:t xml:space="preserve">5. Guía paso a paso para que Hernán e Iván prueben</w:t>
      </w:r>
    </w:p>
    <w:p>
      <w:pPr>
        <w:pStyle w:val="Heading2"/>
        <w:spacing w:after="120" w:before="280"/>
      </w:pPr>
      <w:r>
        <w:rPr>
          <w:b/>
          <w:bCs/>
          <w:color w:val="1B4332"/>
          <w:sz w:val="24"/>
          <w:szCs w:val="24"/>
        </w:rPr>
        <w:t xml:space="preserve">5.1 Revisión de código y tests automáticos (sin infraestructura extra)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Traer la rama: git fetch origin &amp;&amp; git checkout fix/REP-3795-inconsistencias-rag-textual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Revisar el diff contra staging: git diff origin/staging..HEAD -- supabase/functions/analizar-reporte/index.ts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Correr los tests: pnpm vitest run (deberían pasar 451+ tests, incluidos 8 nuevos en src/test/AnalizarReporteRep3795.test.js)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Validar tipos: deno check supabase/functions/analizar-reporte/index.ts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Leer la evidencia completa ya recolectada: .agents/workflow/executions/REP-3795-run-001.md (matriz P-01 completa, todos los casos) y docs/REP-3795_verificacion-paraphrasis-y-visibilidad-sanciones.md (las 2 preguntas de la sección 4, con la evidencia cruda en SQL para auditar sin confiar en el resumen)</w:t>
      </w:r>
    </w:p>
    <w:p>
      <w:pPr>
        <w:pStyle w:val="Heading2"/>
        <w:spacing w:after="120" w:before="280"/>
      </w:pPr>
      <w:r>
        <w:rPr>
          <w:b/>
          <w:bCs/>
          <w:color w:val="1B4332"/>
          <w:sz w:val="24"/>
          <w:szCs w:val="24"/>
        </w:rPr>
        <w:t xml:space="preserve">5.2 Reproducir en vivo (opcional — mismo método usado en esta sesión)</w:t>
      </w:r>
    </w:p>
    <w:p>
      <w:pPr>
        <w:spacing w:after="160" w:line="276"/>
      </w:pPr>
      <w:r>
        <w:rPr>
          <w:sz w:val="21"/>
          <w:szCs w:val="21"/>
        </w:rPr>
        <w:t xml:space="preserve">No hace falta tocar staging ni producción. Se prueba contra una copia aislada de la función, con reportes de prueba marcados, que se borran al terminar.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Desplegar una copia: cp -r supabase/functions/analizar-reporte supabase/functions/analizar-reporte-test &amp;&amp; supabase functions deploy analizar-reporte-test --project-ref yryuhyiujyignkdhiyua --no-verify-jwt &amp;&amp; rm -rf supabase/functions/analizar-reporte-test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Crear reportes de prueba en citizen_reports (SQL Editor del dashboard), con una descripción que empiece con un prefijo identificable (ej. "[TEST HERNAN]") para poder encontrarlos y borrarlos después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Llamar a la función con el reportId real: POST a la URL de la copia, header x-rag-dispatch-token (mismo valor que el secreto RAG_DISPATCH_TOKEN de la función y rag_dispatch_token de Vault), body {"reportId": "&lt;uuid&gt;"}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Revisar el resultado y, si corresponde, la fila guardada en report_ai_analysis / report_ai_evidence</w:t>
      </w:r>
    </w:p>
    <w:p>
      <w:pPr>
        <w:pStyle w:val="ListParagraph"/>
        <w:numPr>
          <w:ilvl w:val="0"/>
          <w:numId w:val="2"/>
        </w:numPr>
        <w:spacing w:after="140" w:line="264"/>
      </w:pPr>
      <w:r>
        <w:rPr>
          <w:sz w:val="21"/>
          <w:szCs w:val="21"/>
        </w:rPr>
        <w:t xml:space="preserve">Al terminar: borrar los reportes de prueba (citizen_reports, report_ai_analysis, report_ai_evidence) y la función copia del Dashboard — no dejar nada de prueba mezclado con datos reales</w:t>
      </w:r>
    </w:p>
    <w:p>
      <w:pPr>
        <w:pStyle w:val="Heading1"/>
        <w:pBdr>
          <w:bottom w:val="single" w:color="1B4332" w:sz="6" w:space="4"/>
        </w:pBdr>
        <w:spacing w:after="160" w:before="360"/>
      </w:pPr>
      <w:r>
        <w:rPr>
          <w:b/>
          <w:bCs/>
          <w:color w:val="1B4332"/>
          <w:sz w:val="30"/>
          <w:szCs w:val="30"/>
        </w:rPr>
        <w:t xml:space="preserve">6. Qué falta para Done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Revisión técnica de Hernán sobre los 2 puntos de la sección 4.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QA independiente de Iván, coordinada con REP-3784 (que además corre después de que esta rama se integre a staging).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Pull Request: la rama ya está pusheada — https://github.com/Mathiiuk/reportalo.mvp/pull/new/fix/REP-3795-inconsistencias-rag-textual — lo abre Matías.</w:t>
      </w:r>
    </w:p>
    <w:p>
      <w:pPr>
        <w:pStyle w:val="ListParagraph"/>
        <w:numPr>
          <w:ilvl w:val="0"/>
          <w:numId w:val="3"/>
        </w:numPr>
        <w:spacing w:after="100" w:line="264"/>
      </w:pPr>
      <w:r>
        <w:rPr>
          <w:sz w:val="21"/>
          <w:szCs w:val="21"/>
        </w:rPr>
        <w:t xml:space="preserve">Fuera de esta tarea: REP-3796 (visibilidad de sanciones), REP-3797 (ampliar corpus), REP-3784 (medición de precisión completa) — cada uno con su propio ticket y responsable.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2026-09-28T14:07:17.175Z</dcterms:created>
  <dcterms:modified xsi:type="dcterms:W3CDTF">2026-09-28T14:07:17.177Z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