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595959"/>
          <w:sz w:val="28"/>
          <w:szCs w:val="28"/>
        </w:rPr>
        <w:t xml:space="preserve">Reportalo</w:t>
      </w:r>
    </w:p>
    <w:p>
      <w:pPr>
        <w:spacing w:after="120"/>
      </w:pPr>
      <w:r>
        <w:rPr>
          <w:i/>
          <w:iCs/>
          <w:color w:val="595959"/>
          <w:sz w:val="22"/>
          <w:szCs w:val="22"/>
        </w:rPr>
        <w:t xml:space="preserve">Plataforma de Auditoría Ciudadana</w:t>
      </w:r>
    </w:p>
    <w:p>
      <w:pPr>
        <w:pBdr>
          <w:bottom w:val="single" w:color="1F4E79" w:sz="12" w:space="6"/>
        </w:pBdr>
        <w:spacing w:after="200" w:before="600"/>
      </w:pPr>
      <w:r>
        <w:rPr>
          <w:b/>
          <w:bCs/>
          <w:color w:val="1F4E79"/>
          <w:sz w:val="44"/>
          <w:szCs w:val="44"/>
        </w:rPr>
        <w:t xml:space="preserve">Diagnóstico del análisis legal con IA (RAG)</w:t>
      </w:r>
    </w:p>
    <w:p>
      <w:pPr>
        <w:spacing w:after="400"/>
      </w:pPr>
      <w:r>
        <w:rPr>
          <w:color w:val="595959"/>
          <w:sz w:val="26"/>
          <w:szCs w:val="26"/>
        </w:rPr>
        <w:t xml:space="preserve">Por qué no responde bien en CABA y en Avellaneda: los puntos rotos desde el inicio del RAG (Sprint 11) hasta la última rama integrada a staging (PR #111)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Dato</w:t>
            </w:r>
          </w:p>
        </w:tc>
        <w:tc>
          <w:tcPr>
            <w:tcW w:type="dxa" w:w="71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Para</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Equipo Reportalo (PO, PM, QA y desarrollo)</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Fecha</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26 de septiembre de 2026 · Sprint 14</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Alcance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Tareas REP-2906 a REP-3790, todas las ramas del RAG y los 42 análisis guardados en la base real (CiudadAR)</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Autor</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Matías Krepchuk</w:t>
            </w:r>
          </w:p>
        </w:tc>
      </w:tr>
    </w:tbl>
    <w:p>
      <w:pPr>
        <w:pageBreakBefore/>
      </w:pPr>
    </w:p>
    <w:p>
      <w:pPr>
        <w:pStyle w:val="Heading1"/>
      </w:pPr>
      <w:r>
        <w:t xml:space="preserve">1. Resumen en una página</w:t>
      </w:r>
    </w:p>
    <w:p>
      <w:pPr>
        <w:pBdr>
          <w:left w:val="single" w:color="1F4E79" w:sz="24" w:space="8"/>
        </w:pBdr>
        <w:shd w:fill="DCE8F4" w:color="auto" w:val="clear"/>
        <w:spacing w:after="160" w:before="120" w:line="276"/>
        <w:ind w:left="120" w:right="120"/>
      </w:pPr>
      <w:r>
        <w:rPr>
          <w:b/>
          <w:bCs/>
        </w:rPr>
        <w:t xml:space="preserve">Conclusión:</w:t>
      </w:r>
      <w:r>
        <w:t xml:space="preserve"> el RAG no está «caído» ni responde «por fuera» de las leyes. Hace exactamente lo que se diseñó: busca leyes de la zona del vecino y redacta una respuesta </w:t>
      </w:r>
      <w:r>
        <w:rPr>
          <w:b/>
          <w:bCs/>
        </w:rPr>
        <w:t xml:space="preserve">solo con esas leyes</w:t>
      </w:r>
      <w:r>
        <w:t xml:space="preserve">. El problema es que </w:t>
      </w:r>
      <w:r>
        <w:rPr>
          <w:b/>
          <w:bCs/>
        </w:rPr>
        <w:t xml:space="preserve">la biblioteca de leyes que tiene para buscar es muy chica</w:t>
      </w:r>
      <w:r>
        <w:t xml:space="preserve"> (se armó para 6 casos de prueba), y a eso se suman decisiones de distintas tareas que </w:t>
      </w:r>
      <w:r>
        <w:rPr>
          <w:b/>
          <w:bCs/>
        </w:rPr>
        <w:t xml:space="preserve">chocan entre sí</w:t>
      </w:r>
      <w:r>
        <w:t xml:space="preserve">.</w:t>
      </w:r>
    </w:p>
    <w:p>
      <w:pPr>
        <w:spacing w:after="120" w:line="276"/>
      </w:pPr>
      <w:r>
        <w:rPr>
          <w:b/>
          <w:bCs/>
        </w:rPr>
        <w:t xml:space="preserve">Lo que funciona bien</w:t>
      </w:r>
      <w:r>
        <w:t xml:space="preserve"> (verificado en la base real):</w:t>
      </w:r>
    </w:p>
    <w:p>
      <w:pPr>
        <w:pStyle w:val="ListParagraph"/>
        <w:numPr>
          <w:ilvl w:val="0"/>
          <w:numId w:val="2"/>
        </w:numPr>
        <w:spacing w:after="60" w:line="264"/>
      </w:pPr>
      <w:r>
        <w:t xml:space="preserve">Los 42 reportes enviados tienen su análisis, y llega en menos de un minuto. No hay reportes trabados ni errores técnicos.</w:t>
      </w:r>
    </w:p>
    <w:p>
      <w:pPr>
        <w:pStyle w:val="ListParagraph"/>
        <w:numPr>
          <w:ilvl w:val="0"/>
          <w:numId w:val="2"/>
        </w:numPr>
        <w:spacing w:after="60" w:line="264"/>
      </w:pPr>
      <w:r>
        <w:t xml:space="preserve">La zona se respeta: un reporte de un barrio de CABA solo usa leyes de CABA, y uno de Avellaneda usa la ley nacional de tránsito (a la que adhiere la Provincia).</w:t>
      </w:r>
    </w:p>
    <w:p>
      <w:pPr>
        <w:pStyle w:val="ListParagraph"/>
        <w:numPr>
          <w:ilvl w:val="0"/>
          <w:numId w:val="2"/>
        </w:numPr>
        <w:spacing w:after="60" w:line="264"/>
      </w:pPr>
      <w:r>
        <w:t xml:space="preserve">Las citas son textuales: la IA no puede citar un texto que no esté en la ley cargada.</w:t>
      </w:r>
    </w:p>
    <w:p>
      <w:pPr>
        <w:spacing w:after="120" w:line="276"/>
      </w:pPr>
      <w:r>
        <w:rPr>
          <w:b/>
          <w:bCs/>
        </w:rPr>
        <w:t xml:space="preserve">Lo que está roto:</w:t>
      </w:r>
      <w:r>
        <w:t xml:space="preserve"> solo </w:t>
      </w:r>
      <w:r>
        <w:rPr>
          <w:b/>
          <w:bCs/>
        </w:rPr>
        <w:t xml:space="preserve">15 de 42 reportes (36 %)</w:t>
      </w:r>
      <w:r>
        <w:t xml:space="preserve"> reciben un fundamento legal. El resto ve «No concluyente» o «Sin normativa». Las causas son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2146"/>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Punto roto</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Gravedad</w:t>
            </w:r>
          </w:p>
        </w:tc>
        <w:tc>
          <w:tcPr>
            <w:tcW w:type="dxa" w:w="21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Dónde se nota</w:t>
            </w:r>
          </w:p>
        </w:tc>
      </w:tr>
      <w:tr>
        <w:tc>
          <w:tcPr>
            <w:tcW w:type="dxa" w:w="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c>
          <w:tcPr>
            <w:tcW w:type="dxa" w:w="56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La biblioteca de leyes es mínima (16 artículos) y nunca se amplió</w:t>
            </w:r>
          </w:p>
        </w:tc>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Alta</w:t>
            </w:r>
          </w:p>
        </w:tc>
        <w:tc>
          <w:tcPr>
            <w:tcW w:type="dxa" w:w="21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 y Avellaneda</w:t>
            </w:r>
          </w:p>
        </w:tc>
      </w:tr>
      <w:tr>
        <w:tc>
          <w:tcPr>
            <w:tcW w:type="dxa" w:w="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2</w:t>
            </w:r>
          </w:p>
        </w:tc>
        <w:tc>
          <w:tcPr>
            <w:tcW w:type="dxa" w:w="56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En CABA la app esconde la ley que se citó; en Avellaneda la muestra</w:t>
            </w:r>
          </w:p>
        </w:tc>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Alta</w:t>
            </w:r>
          </w:p>
        </w:tc>
        <w:tc>
          <w:tcPr>
            <w:tcW w:type="dxa" w:w="21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w:t>
            </w:r>
          </w:p>
        </w:tc>
      </w:tr>
      <w:tr>
        <w:tc>
          <w:tcPr>
            <w:tcW w:type="dxa" w:w="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3</w:t>
            </w:r>
          </w:p>
        </w:tc>
        <w:tc>
          <w:tcPr>
            <w:tcW w:type="dxa" w:w="56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En CABA, para calles, desagües y basura solo hay leyes de «quién controla», no de «qué está prohibido»</w:t>
            </w:r>
          </w:p>
        </w:tc>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Alta</w:t>
            </w:r>
          </w:p>
        </w:tc>
        <w:tc>
          <w:tcPr>
            <w:tcW w:type="dxa" w:w="21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w:t>
            </w:r>
          </w:p>
        </w:tc>
      </w:tr>
      <w:tr>
        <w:tc>
          <w:tcPr>
            <w:tcW w:type="dxa" w:w="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4</w:t>
            </w:r>
          </w:p>
        </w:tc>
        <w:tc>
          <w:tcPr>
            <w:tcW w:type="dxa" w:w="56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Vulnerabilidad social: documentado como resuelto, pero no funciona</w:t>
            </w:r>
          </w:p>
        </w:tc>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Media</w:t>
            </w:r>
          </w:p>
        </w:tc>
        <w:tc>
          <w:tcPr>
            <w:tcW w:type="dxa" w:w="21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Ambas</w:t>
            </w:r>
          </w:p>
        </w:tc>
      </w:tr>
      <w:tr>
        <w:tc>
          <w:tcPr>
            <w:tcW w:type="dxa" w:w="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5</w:t>
            </w:r>
          </w:p>
        </w:tc>
        <w:tc>
          <w:tcPr>
            <w:tcW w:type="dxa" w:w="56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Descripciones genéricas y respuestas que cambian con el mismo texto</w:t>
            </w:r>
          </w:p>
        </w:tc>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Media</w:t>
            </w:r>
          </w:p>
        </w:tc>
        <w:tc>
          <w:tcPr>
            <w:tcW w:type="dxa" w:w="21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Sobre todo CABA</w:t>
            </w:r>
          </w:p>
        </w:tc>
      </w:tr>
      <w:tr>
        <w:tc>
          <w:tcPr>
            <w:tcW w:type="dxa" w:w="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6</w:t>
            </w:r>
          </w:p>
        </w:tc>
        <w:tc>
          <w:tcPr>
            <w:tcW w:type="dxa" w:w="56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Si el vecino elige mal la categoría, la IA no ve las leyes que corresponden</w:t>
            </w:r>
          </w:p>
        </w:tc>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Media</w:t>
            </w:r>
          </w:p>
        </w:tc>
        <w:tc>
          <w:tcPr>
            <w:tcW w:type="dxa" w:w="21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Ambas</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7</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El «organismo competente» no aparece nunca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Baja</w:t>
            </w:r>
          </w:p>
        </w:tc>
        <w:tc>
          <w:tcPr>
            <w:tcW w:type="dxa" w:w="2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Ambas</w:t>
            </w:r>
          </w:p>
        </w:tc>
      </w:tr>
      <w:tr>
        <w:tc>
          <w:tcPr>
            <w:tcW w:type="dxa" w:w="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8</w:t>
            </w:r>
          </w:p>
        </w:tc>
        <w:tc>
          <w:tcPr>
            <w:tcW w:type="dxa" w:w="56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Se midió otra cosa: las pruebas validaban la búsqueda, no la respuesta al vecino</w:t>
            </w:r>
          </w:p>
        </w:tc>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Alta (de proceso)</w:t>
            </w:r>
          </w:p>
        </w:tc>
        <w:tc>
          <w:tcPr>
            <w:tcW w:type="dxa" w:w="21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Todo el RAG</w:t>
            </w:r>
          </w:p>
        </w:tc>
      </w:tr>
    </w:tbl>
    <w:p>
      <w:pPr>
        <w:pStyle w:val="Heading1"/>
      </w:pPr>
      <w:r>
        <w:t xml:space="preserve">2. Cómo funciona el RAG, en simple</w:t>
      </w:r>
    </w:p>
    <w:p>
      <w:pPr>
        <w:spacing w:after="120" w:line="276"/>
      </w:pPr>
      <w:r>
        <w:t xml:space="preserve">Pensemos el RAG como un empleado que responde reclamos </w:t>
      </w:r>
      <w:r>
        <w:rPr>
          <w:b/>
          <w:bCs/>
        </w:rPr>
        <w:t xml:space="preserve">usando únicamente los libros de una biblioteca</w:t>
      </w:r>
      <w:r>
        <w:t xml:space="preserve">:</w:t>
      </w:r>
    </w:p>
    <w:p>
      <w:pPr>
        <w:pStyle w:val="ListParagraph"/>
        <w:numPr>
          <w:ilvl w:val="0"/>
          <w:numId w:val="3"/>
        </w:numPr>
        <w:spacing w:after="80" w:line="264"/>
      </w:pPr>
      <w:r>
        <w:rPr>
          <w:b/>
          <w:bCs/>
        </w:rPr>
        <w:t xml:space="preserve">El vecino escribe</w:t>
      </w:r>
      <w:r>
        <w:t xml:space="preserve"> qué pasa y elige zona y categoría (por ejemplo: «auto sobre la vereda», Caballito, Tránsito).</w:t>
      </w:r>
    </w:p>
    <w:p>
      <w:pPr>
        <w:pStyle w:val="ListParagraph"/>
        <w:numPr>
          <w:ilvl w:val="0"/>
          <w:numId w:val="3"/>
        </w:numPr>
        <w:spacing w:after="80" w:line="264"/>
      </w:pPr>
      <w:r>
        <w:rPr>
          <w:b/>
          <w:bCs/>
        </w:rPr>
        <w:t xml:space="preserve">Se buscan en la biblioteca</w:t>
      </w:r>
      <w:r>
        <w:t xml:space="preserve"> los artículos de ley que aplican a esa zona y a esa categoría, y se eligen los más parecidos a lo que escribió.</w:t>
      </w:r>
    </w:p>
    <w:p>
      <w:pPr>
        <w:pStyle w:val="ListParagraph"/>
        <w:numPr>
          <w:ilvl w:val="0"/>
          <w:numId w:val="3"/>
        </w:numPr>
        <w:spacing w:after="80" w:line="264"/>
      </w:pPr>
      <w:r>
        <w:rPr>
          <w:b/>
          <w:bCs/>
        </w:rPr>
        <w:t xml:space="preserve">La IA redacta la respuesta</w:t>
      </w:r>
      <w:r>
        <w:t xml:space="preserve"> usando solo esos artículos. Si no le alcanzan, está instruida para decir «no concluyente» o «sin normativa» antes que inventar.</w:t>
      </w:r>
    </w:p>
    <w:p>
      <w:pPr>
        <w:pStyle w:val="ListParagraph"/>
        <w:numPr>
          <w:ilvl w:val="0"/>
          <w:numId w:val="3"/>
        </w:numPr>
        <w:spacing w:after="80" w:line="264"/>
      </w:pPr>
      <w:r>
        <w:rPr>
          <w:b/>
          <w:bCs/>
        </w:rPr>
        <w:t xml:space="preserve">Se controla la respuesta:</w:t>
      </w:r>
      <w:r>
        <w:t xml:space="preserve"> cada cita tiene que estar textual en la ley. Si no, se descarta.</w:t>
      </w:r>
    </w:p>
    <w:p>
      <w:pPr>
        <w:pStyle w:val="ListParagraph"/>
        <w:numPr>
          <w:ilvl w:val="0"/>
          <w:numId w:val="3"/>
        </w:numPr>
        <w:spacing w:after="80" w:line="264"/>
      </w:pPr>
      <w:r>
        <w:rPr>
          <w:b/>
          <w:bCs/>
        </w:rPr>
        <w:t xml:space="preserve">La app le muestra al vecino</w:t>
      </w:r>
      <w:r>
        <w:t xml:space="preserve"> el resultado: el fundamento y la norma, o un mensaje de «no concluyente» o «sin normativa».</w:t>
      </w:r>
    </w:p>
    <w:p>
      <w:pPr>
        <w:pBdr>
          <w:left w:val="single" w:color="BF9000" w:sz="24" w:space="8"/>
        </w:pBdr>
        <w:shd w:fill="FFF2CC" w:color="auto" w:val="clear"/>
        <w:spacing w:after="160" w:before="120" w:line="276"/>
        <w:ind w:left="120" w:right="120"/>
      </w:pPr>
      <w:r>
        <w:t xml:space="preserve">Si la biblioteca no tiene el libro correcto, el empleado —con razón— responde «no sé». Eso es lo que está pasando en la mayoría de los reportes reales.</w:t>
      </w:r>
    </w:p>
    <w:p>
      <w:pPr>
        <w:pStyle w:val="Heading1"/>
      </w:pPr>
      <w:r>
        <w:t xml:space="preserve">3. Qué pasó con los reportes reales</w:t>
      </w:r>
    </w:p>
    <w:p>
      <w:pPr>
        <w:spacing w:after="120" w:line="276"/>
      </w:pPr>
      <w:r>
        <w:t xml:space="preserve">Todos los análisis guardados en la base, por zona y categoría: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700"/>
        <w:gridCol w:w="1700"/>
        <w:gridCol w:w="1700"/>
        <w:gridCol w:w="84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Zona</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Categoría</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Con fundamento</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No concluyente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Sin normativa</w:t>
            </w:r>
          </w:p>
        </w:tc>
        <w:tc>
          <w:tcPr>
            <w:tcW w:type="dxa" w:w="8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Total</w:t>
            </w:r>
          </w:p>
        </w:tc>
      </w:tr>
      <w:tr>
        <w:tc>
          <w:tcPr>
            <w:tcW w:type="dxa" w:w="15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CABA</w:t>
            </w:r>
          </w:p>
        </w:tc>
        <w:tc>
          <w:tcPr>
            <w:tcW w:type="dxa" w:w="23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Tránsito</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10</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5</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2</w:t>
            </w:r>
          </w:p>
        </w:tc>
        <w:tc>
          <w:tcPr>
            <w:tcW w:type="dxa" w:w="846"/>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17</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w:t>
            </w:r>
          </w:p>
        </w:tc>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Ambiente</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4</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2</w:t>
            </w:r>
          </w:p>
        </w:tc>
        <w:tc>
          <w:tcPr>
            <w:tcW w:type="dxa" w:w="8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6</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w:t>
            </w:r>
          </w:p>
        </w:tc>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Infraestructura</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5</w:t>
            </w:r>
          </w:p>
        </w:tc>
        <w:tc>
          <w:tcPr>
            <w:tcW w:type="dxa" w:w="8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6</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w:t>
            </w:r>
          </w:p>
        </w:tc>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Vulnerabilidad social</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3</w:t>
            </w:r>
          </w:p>
        </w:tc>
        <w:tc>
          <w:tcPr>
            <w:tcW w:type="dxa" w:w="8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3</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w:t>
            </w:r>
          </w:p>
        </w:tc>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Comercio irregular</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c>
          <w:tcPr>
            <w:tcW w:type="dxa" w:w="8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CABA</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Sin categoría</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1</w:t>
            </w:r>
          </w:p>
        </w:tc>
        <w:tc>
          <w:tcPr>
            <w:tcW w:type="dxa" w:w="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2</w:t>
            </w:r>
          </w:p>
        </w:tc>
      </w:tr>
      <w:tr>
        <w:tc>
          <w:tcPr>
            <w:tcW w:type="dxa" w:w="15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Avellaneda</w:t>
            </w:r>
          </w:p>
        </w:tc>
        <w:tc>
          <w:tcPr>
            <w:tcW w:type="dxa" w:w="23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Tránsito</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4</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1</w:t>
            </w:r>
          </w:p>
        </w:tc>
        <w:tc>
          <w:tcPr>
            <w:tcW w:type="dxa" w:w="846"/>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5</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Avellaneda</w:t>
            </w:r>
          </w:p>
        </w:tc>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Ambiente</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c>
          <w:tcPr>
            <w:tcW w:type="dxa" w:w="8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Avellaneda</w:t>
            </w:r>
          </w:p>
        </w:tc>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Vulnerabilidad social</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0</w:t>
            </w:r>
          </w:p>
        </w:tc>
        <w:tc>
          <w:tcPr>
            <w:tcW w:type="dxa" w:w="17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c>
          <w:tcPr>
            <w:tcW w:type="dxa" w:w="8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w:t>
            </w:r>
          </w:p>
        </w:tc>
      </w:tr>
      <w:tr>
        <w:tc>
          <w:tcPr>
            <w:tcW w:type="dxa" w:w="1500"/>
            <w:tcBorders>
              <w:top w:val="single" w:color="BFBFBF" w:sz="4"/>
              <w:left w:val="single" w:color="BFBFBF" w:sz="4"/>
              <w:bottom w:val="single" w:color="BFBFBF" w:sz="4"/>
              <w:right w:val="single" w:color="BFBFBF" w:sz="4"/>
            </w:tcBorders>
            <w:shd w:fill="DCE8F4" w:color="auto" w:val="clear"/>
            <w:tcMar>
              <w:top w:type="dxa" w:w="70"/>
              <w:left w:type="dxa" w:w="100"/>
              <w:bottom w:type="dxa" w:w="70"/>
              <w:right w:type="dxa" w:w="100"/>
            </w:tcMar>
          </w:tcPr>
          <w:p>
            <w:pPr>
              <w:spacing w:after="20"/>
            </w:pPr>
            <w:r>
              <w:rPr>
                <w:b/>
                <w:bCs/>
                <w:sz w:val="18"/>
                <w:szCs w:val="18"/>
              </w:rPr>
              <w:t xml:space="preserve">Total</w:t>
            </w:r>
          </w:p>
        </w:tc>
        <w:tc>
          <w:tcPr>
            <w:tcW w:type="dxa" w:w="2300"/>
            <w:tcBorders>
              <w:top w:val="single" w:color="BFBFBF" w:sz="4"/>
              <w:left w:val="single" w:color="BFBFBF" w:sz="4"/>
              <w:bottom w:val="single" w:color="BFBFBF" w:sz="4"/>
              <w:right w:val="single" w:color="BFBFBF" w:sz="4"/>
            </w:tcBorders>
            <w:shd w:fill="DCE8F4" w:color="auto" w:val="clear"/>
            <w:tcMar>
              <w:top w:type="dxa" w:w="70"/>
              <w:left w:type="dxa" w:w="100"/>
              <w:bottom w:type="dxa" w:w="70"/>
              <w:right w:type="dxa" w:w="100"/>
            </w:tcMar>
          </w:tcPr>
          <w:p>
            <w:pPr>
              <w:spacing w:after="20"/>
            </w:pPr>
          </w:p>
        </w:tc>
        <w:tc>
          <w:tcPr>
            <w:tcW w:type="dxa" w:w="1700"/>
            <w:tcBorders>
              <w:top w:val="single" w:color="BFBFBF" w:sz="4"/>
              <w:left w:val="single" w:color="BFBFBF" w:sz="4"/>
              <w:bottom w:val="single" w:color="BFBFBF" w:sz="4"/>
              <w:right w:val="single" w:color="BFBFBF" w:sz="4"/>
            </w:tcBorders>
            <w:shd w:fill="DCE8F4" w:color="auto" w:val="clear"/>
            <w:tcMar>
              <w:top w:type="dxa" w:w="70"/>
              <w:left w:type="dxa" w:w="100"/>
              <w:bottom w:type="dxa" w:w="70"/>
              <w:right w:type="dxa" w:w="100"/>
            </w:tcMar>
          </w:tcPr>
          <w:p>
            <w:pPr>
              <w:spacing w:after="20"/>
            </w:pPr>
            <w:r>
              <w:rPr>
                <w:b/>
                <w:bCs/>
                <w:sz w:val="18"/>
                <w:szCs w:val="18"/>
              </w:rPr>
              <w:t xml:space="preserve">15 (36 %)</w:t>
            </w:r>
          </w:p>
        </w:tc>
        <w:tc>
          <w:tcPr>
            <w:tcW w:type="dxa" w:w="1700"/>
            <w:tcBorders>
              <w:top w:val="single" w:color="BFBFBF" w:sz="4"/>
              <w:left w:val="single" w:color="BFBFBF" w:sz="4"/>
              <w:bottom w:val="single" w:color="BFBFBF" w:sz="4"/>
              <w:right w:val="single" w:color="BFBFBF" w:sz="4"/>
            </w:tcBorders>
            <w:shd w:fill="DCE8F4" w:color="auto" w:val="clear"/>
            <w:tcMar>
              <w:top w:type="dxa" w:w="70"/>
              <w:left w:type="dxa" w:w="100"/>
              <w:bottom w:type="dxa" w:w="70"/>
              <w:right w:type="dxa" w:w="100"/>
            </w:tcMar>
          </w:tcPr>
          <w:p>
            <w:pPr>
              <w:spacing w:after="20"/>
            </w:pPr>
            <w:r>
              <w:rPr>
                <w:b/>
                <w:bCs/>
                <w:sz w:val="18"/>
                <w:szCs w:val="18"/>
              </w:rPr>
              <w:t xml:space="preserve">10</w:t>
            </w:r>
          </w:p>
        </w:tc>
        <w:tc>
          <w:tcPr>
            <w:tcW w:type="dxa" w:w="1700"/>
            <w:tcBorders>
              <w:top w:val="single" w:color="BFBFBF" w:sz="4"/>
              <w:left w:val="single" w:color="BFBFBF" w:sz="4"/>
              <w:bottom w:val="single" w:color="BFBFBF" w:sz="4"/>
              <w:right w:val="single" w:color="BFBFBF" w:sz="4"/>
            </w:tcBorders>
            <w:shd w:fill="DCE8F4" w:color="auto" w:val="clear"/>
            <w:tcMar>
              <w:top w:type="dxa" w:w="70"/>
              <w:left w:type="dxa" w:w="100"/>
              <w:bottom w:type="dxa" w:w="70"/>
              <w:right w:type="dxa" w:w="100"/>
            </w:tcMar>
          </w:tcPr>
          <w:p>
            <w:pPr>
              <w:spacing w:after="20"/>
            </w:pPr>
            <w:r>
              <w:rPr>
                <w:b/>
                <w:bCs/>
                <w:sz w:val="18"/>
                <w:szCs w:val="18"/>
              </w:rPr>
              <w:t xml:space="preserve">17</w:t>
            </w:r>
          </w:p>
        </w:tc>
        <w:tc>
          <w:tcPr>
            <w:tcW w:type="dxa" w:w="846"/>
            <w:tcBorders>
              <w:top w:val="single" w:color="BFBFBF" w:sz="4"/>
              <w:left w:val="single" w:color="BFBFBF" w:sz="4"/>
              <w:bottom w:val="single" w:color="BFBFBF" w:sz="4"/>
              <w:right w:val="single" w:color="BFBFBF" w:sz="4"/>
            </w:tcBorders>
            <w:shd w:fill="DCE8F4" w:color="auto" w:val="clear"/>
            <w:tcMar>
              <w:top w:type="dxa" w:w="70"/>
              <w:left w:type="dxa" w:w="100"/>
              <w:bottom w:type="dxa" w:w="70"/>
              <w:right w:type="dxa" w:w="100"/>
            </w:tcMar>
          </w:tcPr>
          <w:p>
            <w:pPr>
              <w:spacing w:after="20"/>
            </w:pPr>
            <w:r>
              <w:rPr>
                <w:b/>
                <w:bCs/>
                <w:sz w:val="18"/>
                <w:szCs w:val="18"/>
              </w:rPr>
              <w:t xml:space="preserve">42</w:t>
            </w:r>
          </w:p>
        </w:tc>
      </w:tr>
    </w:tbl>
    <w:p>
      <w:pPr>
        <w:spacing w:after="80"/>
      </w:pPr>
    </w:p>
    <w:p>
      <w:pPr>
        <w:spacing w:after="120" w:line="276"/>
      </w:pPr>
      <w:r>
        <w:rPr>
          <w:b/>
          <w:bCs/>
        </w:rPr>
        <w:t xml:space="preserve">Lectura:</w:t>
      </w:r>
      <w:r>
        <w:t xml:space="preserve"> Tránsito es la única categoría que funciona, y ni siquiera siempre. Ambiente, Infraestructura, Vulnerabilidad social y Comercio irregular </w:t>
      </w:r>
      <w:r>
        <w:rPr>
          <w:b/>
          <w:bCs/>
        </w:rPr>
        <w:t xml:space="preserve">no dieron ni un solo fundamento</w:t>
      </w:r>
      <w:r>
        <w:t xml:space="preserve"> en ninguna de las dos zonas.</w:t>
      </w:r>
    </w:p>
    <w:p>
      <w:pPr>
        <w:pStyle w:val="Heading2"/>
      </w:pPr>
      <w:r>
        <w:t xml:space="preserve">3.1 Mismo texto, distinta zona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600"/>
        <w:gridCol w:w="264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Texto del vecino</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Zona</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Ley que usó la IA</w:t>
            </w:r>
          </w:p>
        </w:tc>
        <w:tc>
          <w:tcPr>
            <w:tcW w:type="dxa" w:w="26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Qué vio el vecino</w:t>
            </w:r>
          </w:p>
        </w:tc>
      </w:tr>
      <w:tr>
        <w:tc>
          <w:tcPr>
            <w:tcW w:type="dxa" w:w="3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«Auto estacionado en la mitad de la calle»</w:t>
            </w:r>
          </w:p>
        </w:tc>
        <w:tc>
          <w:tcPr>
            <w:tcW w:type="dxa" w:w="15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Avellaneda</w:t>
            </w:r>
          </w:p>
        </w:tc>
        <w:tc>
          <w:tcPr>
            <w:tcW w:type="dxa" w:w="26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Ley 24.449 (nacional), arts. 48 y 49</w:t>
            </w:r>
          </w:p>
        </w:tc>
        <w:tc>
          <w:tcPr>
            <w:tcW w:type="dxa" w:w="2646"/>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Fundamento </w:t>
            </w:r>
            <w:r>
              <w:rPr>
                <w:b/>
                <w:bCs/>
                <w:sz w:val="18"/>
                <w:szCs w:val="18"/>
              </w:rPr>
              <w:t xml:space="preserve">+ la norma</w:t>
            </w:r>
          </w:p>
        </w:tc>
      </w:tr>
      <w:tr>
        <w:tc>
          <w:tcPr>
            <w:tcW w:type="dxa" w:w="30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«auto estacionado en el medio de la calle»</w:t>
            </w:r>
          </w:p>
        </w:tc>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Balvanera (CABA)</w:t>
            </w:r>
          </w:p>
        </w:tc>
        <w:tc>
          <w:tcPr>
            <w:tcW w:type="dxa" w:w="26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Ley 451 de CABA, art. 6.1.52</w:t>
            </w:r>
          </w:p>
        </w:tc>
        <w:tc>
          <w:tcPr>
            <w:tcW w:type="dxa" w:w="26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Fundamento </w:t>
            </w:r>
            <w:r>
              <w:rPr>
                <w:b/>
                <w:bCs/>
                <w:sz w:val="18"/>
                <w:szCs w:val="18"/>
              </w:rPr>
              <w:t xml:space="preserve">sin la norma</w:t>
            </w:r>
            <w:r>
              <w:rPr>
                <w:sz w:val="18"/>
                <w:szCs w:val="18"/>
              </w:rPr>
              <w:t xml:space="preserve"> (oculta)</w:t>
            </w:r>
          </w:p>
        </w:tc>
      </w:tr>
      <w:tr>
        <w:tc>
          <w:tcPr>
            <w:tcW w:type="dxa" w:w="30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«auto sobre la vereda»</w:t>
            </w:r>
          </w:p>
        </w:tc>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Caballito y Balvanera (CABA)</w:t>
            </w:r>
          </w:p>
        </w:tc>
        <w:tc>
          <w:tcPr>
            <w:tcW w:type="dxa" w:w="26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Ley 451 de CABA, art. 6.1.37</w:t>
            </w:r>
          </w:p>
        </w:tc>
        <w:tc>
          <w:tcPr>
            <w:tcW w:type="dxa" w:w="26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Fundamento </w:t>
            </w:r>
            <w:r>
              <w:rPr>
                <w:b/>
                <w:bCs/>
                <w:sz w:val="18"/>
                <w:szCs w:val="18"/>
              </w:rPr>
              <w:t xml:space="preserve">sin la norma</w:t>
            </w:r>
            <w:r>
              <w:rPr>
                <w:sz w:val="18"/>
                <w:szCs w:val="18"/>
              </w:rPr>
              <w:t xml:space="preserve"> (oculta)</w:t>
            </w:r>
          </w:p>
        </w:tc>
      </w:tr>
      <w:tr>
        <w:tc>
          <w:tcPr>
            <w:tcW w:type="dxa" w:w="30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«auto mal estacionado»</w:t>
            </w:r>
          </w:p>
        </w:tc>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Caballito, Puerto Madero y Núñez (CABA)</w:t>
            </w:r>
          </w:p>
        </w:tc>
        <w:tc>
          <w:tcPr>
            <w:tcW w:type="dxa" w:w="26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Ley 451, art. 6.1.52 (la cubre)</w:t>
            </w:r>
          </w:p>
        </w:tc>
        <w:tc>
          <w:tcPr>
            <w:tcW w:type="dxa" w:w="26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«No concluyente» 3 de 4 veces</w:t>
            </w:r>
          </w:p>
        </w:tc>
      </w:tr>
      <w:tr>
        <w:tc>
          <w:tcPr>
            <w:tcW w:type="dxa" w:w="30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«Calle agrietada» / «bache»</w:t>
            </w:r>
          </w:p>
        </w:tc>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CABA</w:t>
            </w:r>
          </w:p>
        </w:tc>
        <w:tc>
          <w:tcPr>
            <w:tcW w:type="dxa" w:w="26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Solo Ley 210 («quién controla»)</w:t>
            </w:r>
          </w:p>
        </w:tc>
        <w:tc>
          <w:tcPr>
            <w:tcW w:type="dxa" w:w="26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«Sin normativa»</w:t>
            </w:r>
          </w:p>
        </w:tc>
      </w:tr>
      <w:tr>
        <w:tc>
          <w:tcPr>
            <w:tcW w:type="dxa" w:w="3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«Boca de tormenta rota» / «bache»</w:t>
            </w:r>
          </w:p>
        </w:tc>
        <w:tc>
          <w:tcPr>
            <w:tcW w:type="dxa" w:w="15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Avellaneda (pruebas)</w:t>
            </w:r>
          </w:p>
        </w:tc>
        <w:tc>
          <w:tcPr>
            <w:tcW w:type="dxa" w:w="26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Ley Orgánica de Municipalidades y Constitución PBA</w:t>
            </w:r>
          </w:p>
        </w:tc>
        <w:tc>
          <w:tcPr>
            <w:tcW w:type="dxa" w:w="2646"/>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Fundamento</w:t>
            </w:r>
          </w:p>
        </w:tc>
      </w:tr>
    </w:tbl>
    <w:p>
      <w:pPr>
        <w:spacing w:after="80"/>
      </w:pPr>
    </w:p>
    <w:p>
      <w:pPr>
        <w:spacing w:after="120" w:line="276"/>
      </w:pPr>
      <w:r>
        <w:t xml:space="preserve">Esto explica la sensación de que «responde fuera del RAG» en CABA: la IA sí usó una ley de CABA, pero </w:t>
      </w:r>
      <w:r>
        <w:rPr>
          <w:b/>
          <w:bCs/>
        </w:rPr>
        <w:t xml:space="preserve">la app no la muestra</w:t>
      </w:r>
      <w:r>
        <w:t xml:space="preserve">, y lo único que el vecino lee es una frase en lenguaje llano que parece un resumen de lo que escribió (ver Punto 2).</w:t>
      </w:r>
    </w:p>
    <w:p>
      <w:pPr>
        <w:pStyle w:val="Heading1"/>
      </w:pPr>
      <w:r>
        <w:t xml:space="preserve">4. Qué leyes tiene hoy la biblioteca</w:t>
      </w:r>
    </w:p>
    <w:p>
      <w:pPr>
        <w:spacing w:after="120" w:line="276"/>
      </w:pPr>
      <w:r>
        <w:t xml:space="preserve">Hay </w:t>
      </w:r>
      <w:r>
        <w:rPr>
          <w:b/>
          <w:bCs/>
        </w:rPr>
        <w:t xml:space="preserve">16 artículos vigentes</w:t>
      </w:r>
      <w:r>
        <w:t xml:space="preserve"> de 8 leyes. Esto es todo lo que la IA puede usar: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Categoría</w:t>
            </w:r>
          </w:p>
        </w:tc>
        <w:tc>
          <w:tcPr>
            <w:tcW w:type="dxa" w:w="387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CABA</w:t>
            </w:r>
          </w:p>
        </w:tc>
        <w:tc>
          <w:tcPr>
            <w:tcW w:type="dxa" w:w="387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Avellaneda</w:t>
            </w:r>
          </w:p>
        </w:tc>
      </w:tr>
      <w:tr>
        <w:tc>
          <w:tcPr>
            <w:tcW w:type="dxa" w:w="20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Tránsito</w:t>
            </w:r>
          </w:p>
        </w:tc>
        <w:tc>
          <w:tcPr>
            <w:tcW w:type="dxa" w:w="3873"/>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2 prohibiciones (doble fila y rampas, Ley 2148) + 2 multas (Ley 451, que la app oculta)</w:t>
            </w:r>
          </w:p>
        </w:tc>
        <w:tc>
          <w:tcPr>
            <w:tcW w:type="dxa" w:w="3873"/>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4 prohibiciones de la Ley nacional 24.449 (calzada, obstrucción, detención)</w:t>
            </w:r>
          </w:p>
        </w:tc>
      </w:tr>
      <w:tr>
        <w:tc>
          <w:tcPr>
            <w:tcW w:type="dxa" w:w="20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Ambiente</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 artículo que dice </w:t>
            </w:r>
            <w:r>
              <w:rPr>
                <w:b/>
                <w:bCs/>
                <w:sz w:val="18"/>
                <w:szCs w:val="18"/>
              </w:rPr>
              <w:t xml:space="preserve">quién controla</w:t>
            </w:r>
            <w:r>
              <w:rPr>
                <w:sz w:val="18"/>
                <w:szCs w:val="18"/>
              </w:rPr>
              <w:t xml:space="preserve"> la higiene urbana (Ley 210). No dice qué está prohibido.</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1 obligación del municipio (limpieza, Ley Orgánica de Municipalidades)</w:t>
            </w:r>
          </w:p>
        </w:tc>
      </w:tr>
      <w:tr>
        <w:tc>
          <w:tcPr>
            <w:tcW w:type="dxa" w:w="20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Infraestructura</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2 artículos de </w:t>
            </w:r>
            <w:r>
              <w:rPr>
                <w:b/>
                <w:bCs/>
                <w:sz w:val="18"/>
                <w:szCs w:val="18"/>
              </w:rPr>
              <w:t xml:space="preserve">quién controla</w:t>
            </w:r>
            <w:r>
              <w:rPr>
                <w:sz w:val="18"/>
                <w:szCs w:val="18"/>
              </w:rPr>
              <w:t xml:space="preserve"> servicios (alumbrado, Ley 210). Nada sobre calles, baches ni desagües.</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3 obligaciones del municipio (vialidad y servicios: Constitución PBA y Ley Orgánica)</w:t>
            </w:r>
          </w:p>
        </w:tc>
      </w:tr>
      <w:tr>
        <w:tc>
          <w:tcPr>
            <w:tcW w:type="dxa" w:w="20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Vulnerabilidad social</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b/>
                <w:bCs/>
                <w:sz w:val="18"/>
                <w:szCs w:val="18"/>
              </w:rPr>
              <w:t xml:space="preserve">Nada</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b/>
                <w:bCs/>
                <w:sz w:val="18"/>
                <w:szCs w:val="18"/>
              </w:rPr>
              <w:t xml:space="preserve">Nada</w:t>
            </w:r>
          </w:p>
        </w:tc>
      </w:tr>
      <w:tr>
        <w:tc>
          <w:tcPr>
            <w:tcW w:type="dxa" w:w="20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8"/>
                <w:szCs w:val="18"/>
              </w:rPr>
              <w:t xml:space="preserve">Comercio irregular</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b/>
                <w:bCs/>
                <w:sz w:val="18"/>
                <w:szCs w:val="18"/>
              </w:rPr>
              <w:t xml:space="preserve">Nada</w:t>
            </w:r>
          </w:p>
        </w:tc>
        <w:tc>
          <w:tcPr>
            <w:tcW w:type="dxa" w:w="3873"/>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b/>
                <w:bCs/>
                <w:sz w:val="18"/>
                <w:szCs w:val="18"/>
              </w:rPr>
              <w:t xml:space="preserve">Nada</w:t>
            </w:r>
          </w:p>
        </w:tc>
      </w:tr>
    </w:tbl>
    <w:p>
      <w:pPr>
        <w:spacing w:after="80"/>
      </w:pPr>
    </w:p>
    <w:p>
      <w:pPr>
        <w:pBdr>
          <w:left w:val="single" w:color="BF9000" w:sz="24" w:space="8"/>
        </w:pBdr>
        <w:shd w:fill="FFF2CC" w:color="auto" w:val="clear"/>
        <w:spacing w:after="160" w:before="120" w:line="276"/>
        <w:ind w:left="120" w:right="120"/>
      </w:pPr>
      <w:r>
        <w:t xml:space="preserve">La biblioteca se armó en el Sprint 11 para </w:t>
      </w:r>
      <w:r>
        <w:rPr>
          <w:b/>
          <w:bCs/>
        </w:rPr>
        <w:t xml:space="preserve">6 casos de prueba</w:t>
      </w:r>
      <w:r>
        <w:t xml:space="preserve"> (rampa, doble fila, boca de tormenta, luminaria, un caso ambiguo y uno sin normativa). Los reportes reales se salen de esos casos todo el tiempo.</w:t>
      </w:r>
    </w:p>
    <w:p>
      <w:pPr>
        <w:pageBreakBefore/>
      </w:pPr>
    </w:p>
    <w:p>
      <w:pPr>
        <w:pStyle w:val="Heading1"/>
      </w:pPr>
      <w:r>
        <w:t xml:space="preserve">5. Los puntos rotos, uno por uno</w:t>
      </w:r>
    </w:p>
    <w:p>
      <w:pPr>
        <w:pStyle w:val="Heading2"/>
      </w:pPr>
      <w:r>
        <w:t xml:space="preserve">Punto 1 · La biblioteca de leyes es mínima y nunca se amplió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Alta · es la causa de fondo de casi todo lo demás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«Sin normativa» o «No concluyente» en todo lo que no sea tránsito.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«Calle agrietada» (Puerto Madero) ×3, «Basura en la calle» (Balvanera), «Basural con ratas» (Almagro), «Microbasural con quema» (Sarandí).</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Solo hay 16 artículos. La Ley 2148 de CABA tiene cargados 2 incisos de muchos; el propio documento de la ley dice que «los demás incisos no se relevaron en esta ronda». La higiene urbana de CABA sigue como pendiente abierto (P-11). La Ordenanza 27235 de Avellaneda (residuos) </w:t>
            </w:r>
            <w:r>
              <w:rPr>
                <w:b/>
                <w:bCs/>
                <w:sz w:val="19"/>
                <w:szCs w:val="19"/>
              </w:rPr>
              <w:t xml:space="preserve">está en el repositorio pero nunca se cargó</w:t>
            </w:r>
            <w:r>
              <w:rPr>
                <w:sz w:val="19"/>
                <w:szCs w:val="19"/>
              </w:rPr>
              <w:t xml:space="preserve">. La Ley 13.927 de PBA está cargada sin ningún artículo.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REP-2906 y REP-3764 (Sprint 11) definieron un corpus mínimo para probar. REP-3774 (Sprint 13) construyó la herramienta para cargar leyes, pero </w:t>
            </w:r>
            <w:r>
              <w:rPr>
                <w:b/>
                <w:bCs/>
                <w:sz w:val="19"/>
                <w:szCs w:val="19"/>
              </w:rPr>
              <w:t xml:space="preserve">solo la probó recargando la Ley 210</w:t>
            </w:r>
            <w:r>
              <w:rPr>
                <w:sz w:val="19"/>
                <w:szCs w:val="19"/>
              </w:rPr>
              <w:t xml:space="preserve">: no sumó ninguna ley nueva.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Relevar y cargar: Ley 2148 art. 7.1 completo (vereda, calzada, lugares prohibidos), higiene urbana de CABA, mantenimiento de calles y desagües en CABA, y la Ordenanza 27235 que ya está en el repo. La herramienta de carga ya existe (REP-3774). Encaja con REP-3784 (Iván).</w:t>
            </w:r>
          </w:p>
        </w:tc>
      </w:tr>
    </w:tbl>
    <w:p>
      <w:pPr>
        <w:spacing w:after="80"/>
      </w:pPr>
    </w:p>
    <w:p>
      <w:pPr>
        <w:pStyle w:val="Heading2"/>
      </w:pPr>
      <w:r>
        <w:t xml:space="preserve">Punto 2 · En CABA la app esconde la ley que se citó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Alta · es lo que genera la sensación de «responde fuera del RAG»</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En CABA: una frase del tipo «No está permitido dejar un vehículo sobre la vereda…» </w:t>
            </w:r>
            <w:r>
              <w:rPr>
                <w:b/>
                <w:bCs/>
                <w:sz w:val="19"/>
                <w:szCs w:val="19"/>
              </w:rPr>
              <w:t xml:space="preserve">sin ninguna ley a la vista</w:t>
            </w:r>
            <w:r>
              <w:rPr>
                <w:sz w:val="19"/>
                <w:szCs w:val="19"/>
              </w:rPr>
              <w:t xml:space="preserve">. En Avellaneda, la misma frase </w:t>
            </w:r>
            <w:r>
              <w:rPr>
                <w:b/>
                <w:bCs/>
                <w:sz w:val="19"/>
                <w:szCs w:val="19"/>
              </w:rPr>
              <w:t xml:space="preserve">con</w:t>
            </w:r>
            <w:r>
              <w:rPr>
                <w:sz w:val="19"/>
                <w:szCs w:val="19"/>
              </w:rPr>
              <w:t xml:space="preserve"> «Norma detectada: Ley 24.449, art. 48».</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«auto sobre la vereda» en Caballito cita la Ley 451, art. 6.1.37, pero el vecino no lo ve. «Auto estacionado en la mitad de la calle» en Avellaneda muestra la Ley 24.449.</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Los artículos de la Ley 451 de CABA están marcados como «sanción» porque incluyen el monto de la multa, y la app tiene la regla de </w:t>
            </w:r>
            <w:r>
              <w:rPr>
                <w:b/>
                <w:bCs/>
                <w:sz w:val="19"/>
                <w:szCs w:val="19"/>
              </w:rPr>
              <w:t xml:space="preserve">no mostrar sanciones al vecino</w:t>
            </w:r>
            <w:r>
              <w:rPr>
                <w:sz w:val="19"/>
                <w:szCs w:val="19"/>
              </w:rPr>
              <w:t xml:space="preserve">. En CABA, para vereda o calle, esos son los únicos artículos que aplican (las prohibiciones cargadas son solo doble fila y rampa), así que la sección de la norma desaparece.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Choque entre tareas: REP-3769 y REP-3789 (criterio CA-03) definieron «nunca mostrar sanciones». Se probó con el caso de la rampa, que además tiene una prohibición visible de la Ley 2148, así que el hueco no se vio.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Mostrar el </w:t>
            </w:r>
            <w:r>
              <w:rPr>
                <w:b/>
                <w:bCs/>
                <w:sz w:val="19"/>
                <w:szCs w:val="19"/>
              </w:rPr>
              <w:t xml:space="preserve">nombre</w:t>
            </w:r>
            <w:r>
              <w:rPr>
                <w:sz w:val="19"/>
                <w:szCs w:val="19"/>
              </w:rPr>
              <w:t xml:space="preserve"> del artículo sin su contenido (sin montos): «Ley 451 (CABA), art. 6.1.37 (obstrucción de vía)». Necesita el OK del PO porque cambia un criterio de aceptación. A mediano plazo lo resuelve el Punto 1: con más prohibiciones cargadas, la IA cita prohibiciones visibles.</w:t>
            </w:r>
          </w:p>
        </w:tc>
      </w:tr>
    </w:tbl>
    <w:p>
      <w:pPr>
        <w:spacing w:after="80"/>
      </w:pPr>
    </w:p>
    <w:p>
      <w:pPr>
        <w:pStyle w:val="Heading2"/>
      </w:pPr>
      <w:r>
        <w:t xml:space="preserve">Punto 3 · En CABA, para calles, desagües y basura solo hay leyes de «quién controla»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Alta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«No concluyente» o «Sin normativa» en baches, calles agrietadas, bocas de tormenta y basura en CABA, aunque el mismo tipo de reclamo en Avellaneda sí tiene fundamento.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«Bache profundo sobre calzada, Av. Corrientes» (San Nicolás) → «Sin normativa». «boca de tormenta rota» (Caballito) → «Sin normativa». En Avellaneda, bache y boca de tormenta → con fundamento.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Para CABA se cargó la Ley 210, que dice qué </w:t>
            </w:r>
            <w:r>
              <w:rPr>
                <w:b/>
                <w:bCs/>
                <w:sz w:val="19"/>
                <w:szCs w:val="19"/>
              </w:rPr>
              <w:t xml:space="preserve">controla</w:t>
            </w:r>
            <w:r>
              <w:rPr>
                <w:sz w:val="19"/>
                <w:szCs w:val="19"/>
              </w:rPr>
              <w:t xml:space="preserve"> el Ente Regulador (alumbrado, higiene), pero no qué </w:t>
            </w:r>
            <w:r>
              <w:rPr>
                <w:b/>
                <w:bCs/>
                <w:sz w:val="19"/>
                <w:szCs w:val="19"/>
              </w:rPr>
              <w:t xml:space="preserve">obligación</w:t>
            </w:r>
            <w:r>
              <w:rPr>
                <w:sz w:val="19"/>
                <w:szCs w:val="19"/>
              </w:rPr>
              <w:t xml:space="preserve"> tiene la Ciudad ni qué está </w:t>
            </w:r>
            <w:r>
              <w:rPr>
                <w:b/>
                <w:bCs/>
                <w:sz w:val="19"/>
                <w:szCs w:val="19"/>
              </w:rPr>
              <w:t xml:space="preserve">prohibido</w:t>
            </w:r>
            <w:r>
              <w:rPr>
                <w:sz w:val="19"/>
                <w:szCs w:val="19"/>
              </w:rPr>
              <w:t xml:space="preserve">. Con eso la IA no puede fundamentar. En Avellaneda, en cambio, se cargaron obligaciones del municipio.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REP-2906 (investigación del corpus) resolvió CABA con la Ley 210 como equivalente, y REP-3764 validó el caso de la luminaria (caso D) midiendo que </w:t>
            </w:r>
            <w:r>
              <w:rPr>
                <w:b/>
                <w:bCs/>
                <w:sz w:val="19"/>
                <w:szCs w:val="19"/>
              </w:rPr>
              <w:t xml:space="preserve">se encontrara</w:t>
            </w:r>
            <w:r>
              <w:rPr>
                <w:sz w:val="19"/>
                <w:szCs w:val="19"/>
              </w:rPr>
              <w:t xml:space="preserve"> la Ley 210, no que la respuesta fuera útil.</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Parte del Punto 1: relevar la normativa de CABA sobre mantenimiento de la vía pública, desagües e higiene urbana (con qué está obligado a hacer quién).</w:t>
            </w:r>
          </w:p>
        </w:tc>
      </w:tr>
    </w:tbl>
    <w:p>
      <w:pPr>
        <w:spacing w:after="80"/>
      </w:pPr>
    </w:p>
    <w:p>
      <w:pPr>
        <w:pStyle w:val="Heading2"/>
      </w:pPr>
      <w:r>
        <w:t xml:space="preserve">Punto 4 · Vulnerabilidad social: documentado como resuelto, pero no funciona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9"/>
                <w:szCs w:val="19"/>
              </w:rPr>
              <w:t xml:space="preserve">Media · es la única contradicción directa entre documento y funcionamiento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«Sin normativa cargada». Debería ver «Tu reporte va a ser derivado al área de asistencia social», un mensaje que ya existe en la app.</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«Persona en situación de calle» (Balvanera), «Gente en la calle» (Puerto Madero), «Refugio improvisado bajo estructura vial» (Wilde): los 4 casos → «Sin normativa».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La categoría no tiene ninguna ley cargada. Cuando no hay leyes, el sistema corta antes de consultar a la IA y responde «sin normativa». El estado «asistencia» nunca se llega a producir.</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Choque entre tareas: REP-3764 dijo «vulnerabilidad social no tiene corpus, queda pendiente». Después, la guía de REP-3769 afirmó «la categoría VULNERABILIDAD_SOCIAL devuelve asistencia», y la ronda 6 de REP-2908-VERIF solo agregó una regla de validación. Nadie implementó la derivación.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Que esa categoría devuelva «asistencia» directamente, sin consultar a la IA (costo cero). Es un cambio chico de desarrollo.</w:t>
            </w:r>
          </w:p>
        </w:tc>
      </w:tr>
    </w:tbl>
    <w:p>
      <w:pPr>
        <w:spacing w:after="80"/>
      </w:pPr>
    </w:p>
    <w:p>
      <w:pPr>
        <w:pStyle w:val="Heading2"/>
      </w:pPr>
      <w:r>
        <w:t xml:space="preserve">Punto 5 · Descripciones genéricas y respuestas que cambian con el mismo texto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9"/>
                <w:szCs w:val="19"/>
              </w:rPr>
              <w:t xml:space="preserve">Media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Con «auto mal estacionado», a veces «No concluyente» y a veces un fundamento.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«Auto mal estacionado.» (con punto) → con fundamento; «Auto mal estacionado» (sin punto), misma zona → «No concluyente». En 3 de 4 casos la IA dijo «no precisa dónde está estacionado» aunque el art. 6.1.52 de la Ley 451 cubre literalmente «estacionar en forma antirreglamentaria». En un caso marcó «es infracción» y a la vez «no concluyente».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La IA está instruida para ser prudente, y en textos vagos duda. Además trabaja con una «temperatura» (grado de azar) por defecto, que hace que el mismo texto pueda dar resultados distintos.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REP-3786 (Sprint 13) decidió mantener la configuración base, y la temperatura quedó explícitamente sin tocar hasta volver a correr la evaluación P-01. REP-2203 exige un mínimo de 10 caracteres, y «auto mal estacionado» lo cumple.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Tres cambios de costo cero: (a) ayuda en la pantalla de la descripción («contá dónde: sobre la vereda, en doble fila, tapando una rampa»); (b) fijar la temperatura en 0 y agregar reglas al prompt, validándolo antes con P-01; (c) a futuro, usar la foto cuando el texto no alcanza (análisis en cascada).</w:t>
            </w:r>
          </w:p>
        </w:tc>
      </w:tr>
    </w:tbl>
    <w:p>
      <w:pPr>
        <w:spacing w:after="80"/>
      </w:pPr>
    </w:p>
    <w:p>
      <w:pPr>
        <w:pStyle w:val="Heading2"/>
      </w:pPr>
      <w:r>
        <w:t xml:space="preserve">Punto 6 · Si el vecino elige mal la categoría, la IA no ve las leyes que corresponden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9"/>
                <w:szCs w:val="19"/>
              </w:rPr>
              <w:t xml:space="preserve">Media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«Sin normativa» aunque exista una ley que aplica.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«Pintura blanca en el asfalto» se cargó como Ambiente → «Sin normativa». «Mercadería sobre la vereda que obstruye el paso» se cargó como Comercio irregular (sin leyes), cuando la obstrucción de vereda está en Tránsito.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La búsqueda solo mira las leyes de la categoría elegida. Se agregó así para evitar citas equivocadas, pero hace que una categoría mal elegida deje a la IA sin leyes. Al revés, los reportes guardados sin categoría (2 casos, de antes de REP-2204) buscan en todas.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REP-2908-VERIF, punto V-09 (filtro por categoría, Sprint 12), para corregir el falso positivo del caso F.</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Opciones a evaluar: si con la categoría elegida no hay leyes, hacer una segunda búsqueda sin filtro y avisar que la categoría sugerida es otra; o guiar mejor la elección de categoría en la app.</w:t>
            </w:r>
          </w:p>
        </w:tc>
      </w:tr>
    </w:tbl>
    <w:p>
      <w:pPr>
        <w:spacing w:after="80"/>
      </w:pPr>
    </w:p>
    <w:p>
      <w:pPr>
        <w:pStyle w:val="Heading2"/>
      </w:pPr>
      <w:r>
        <w:t xml:space="preserve">Punto 7 · El «organismo competente» no aparece nunca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Baja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Nunca aparece a qué área le corresponde el reclamo.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0 de 42 análisis tienen organismo sugerido.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La pantalla está preparada para mostrarlo y la guía de REP-3769 lo describe, pero a la IA nunca se le pasa la lista de organismos, y el prompt le prohíbe inventarlos (lo correcto).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REP-3769 lo diseñó; REP-2908 y la verificación posterior dejaron la instrucción de no inventar. Nadie conectó las dos partes.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Decidir: pasarle a la IA la lista de organismos de la zona, o asignar el organismo por reglas (zona + categoría) sin IA, que es más barato y confiable.</w:t>
            </w:r>
          </w:p>
        </w:tc>
      </w:tr>
    </w:tbl>
    <w:p>
      <w:pPr>
        <w:spacing w:after="80"/>
      </w:pPr>
    </w:p>
    <w:p>
      <w:pPr>
        <w:pStyle w:val="Heading2"/>
      </w:pPr>
      <w:r>
        <w:t xml:space="preserve">Punto 8 · Se midió otra cosa: las pruebas validaban la búsqueda, no la respuesta al vecino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p>
        </w:tc>
        <w:tc>
          <w:tcPr>
            <w:tcW w:type="dxa" w:w="74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9"/>
                <w:szCs w:val="19"/>
              </w:rPr>
              <w:t xml:space="preserve">Detalle</w:t>
            </w:r>
          </w:p>
        </w:tc>
      </w:tr>
      <w:tr>
        <w:tc>
          <w:tcPr>
            <w:tcW w:type="dxa" w:w="23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Gravedad</w:t>
            </w:r>
          </w:p>
        </w:tc>
        <w:tc>
          <w:tcPr>
            <w:tcW w:type="dxa" w:w="7446"/>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pPr>
              <w:spacing w:after="20"/>
            </w:pPr>
            <w:r>
              <w:rPr>
                <w:sz w:val="19"/>
                <w:szCs w:val="19"/>
              </w:rPr>
              <w:t xml:space="preserve">Alta (de proceso) · explica por qué todo lo anterior no se vio antes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Qué ve el vecino</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Ejemplo real</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El 16/09 se reportó que la mayoría de los análisis tenían fundamento: eran sobre todo reportes de prueba y demo. Con los reportes reales de hoy, el 36 % tiene fundamento.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Por qué pasa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El criterio de éxito de REP-3764 fue «el sistema encuentra el artículo esperado», no «el vecino recibe una respuesta útil». Por eso la luminaria en CABA «pasó» (encontró la Ley 210) aunque el vecino ve «No concluyente». La medición de precisión REP-2910 se cerró en el Sprint 12, pero la corrida completa pasó a REP-3784 (Sprint 14), que todavía no empezó.</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Dónde se originó</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REP-3764 (criterio de éxito), REP-2910 (cerrada sin la corrida completa), REP-3784 (pendiente).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Cómo se arregla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9"/>
                <w:szCs w:val="19"/>
              </w:rPr>
              <w:t xml:space="preserve">Que REP-3784 mida sobre </w:t>
            </w:r>
            <w:r>
              <w:rPr>
                <w:b/>
                <w:bCs/>
                <w:sz w:val="19"/>
                <w:szCs w:val="19"/>
              </w:rPr>
              <w:t xml:space="preserve">reportes reales</w:t>
            </w:r>
            <w:r>
              <w:rPr>
                <w:sz w:val="19"/>
                <w:szCs w:val="19"/>
              </w:rPr>
              <w:t xml:space="preserve">, con la pregunta «¿el vecino recibió un fundamento correcto?», separado por zona y categoría. Esta tabla (sección 3) sirve como línea de base.</w:t>
            </w:r>
          </w:p>
        </w:tc>
      </w:tr>
    </w:tbl>
    <w:p>
      <w:pPr>
        <w:spacing w:after="80"/>
      </w:pPr>
    </w:p>
    <w:p>
      <w:pPr>
        <w:pStyle w:val="Heading1"/>
      </w:pPr>
      <w:r>
        <w:t xml:space="preserve">6. Dónde chocan las tareas entre sí</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Tema</w:t>
            </w:r>
          </w:p>
        </w:tc>
        <w:tc>
          <w:tcPr>
            <w:tcW w:type="dxa" w:w="367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Una tarea dice…</w:t>
            </w:r>
          </w:p>
        </w:tc>
        <w:tc>
          <w:tcPr>
            <w:tcW w:type="dxa" w:w="367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…pero en la realidad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Vulnerabilidad social</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REP-3769 (guía): «devuelve asistencia»</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Devuelve «sin normativa». REP-3764 ya había dicho que no tenía corpus y quedaba pendiente.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Mostrar la ley al vecino</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REP-3789 hace visible el fundamento y la norma detectada</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REP-3789 CA-03 y REP-3769 prohíben mostrar sanciones, y en CABA casi todo lo citado es sanción → no se ve ninguna norma.</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Corpus ampliado</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REP-3774 «Completar loader y bucket del corpus» (Finalizada)</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Se completó la herramienta, no el corpus: la base sigue con 16 artículos.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Precisión medida</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REP-2910 «Probar precisión de clasificación» (Finalizada, Sprint 12)</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La corrida completa pasó a REP-3784 (Sprint 14, sin empezar).</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Organismo competente</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REP-3769: la IA sugiere el organismo</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La IA no recibe la lista y tiene prohibido inventar: 0 de 42.</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Categoría</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V-09 filtra por categoría para evitar citas equivocadas</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Si la categoría está mal elegida, la IA queda sin leyes.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Consistencia</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REP-3786 mantiene la configuración base</w:t>
            </w:r>
          </w:p>
        </w:tc>
        <w:tc>
          <w:tcPr>
            <w:tcW w:type="dxa" w:w="367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La temperatura por defecto hace que el mismo texto dé resultados distintos.</w:t>
            </w:r>
          </w:p>
        </w:tc>
      </w:tr>
    </w:tbl>
    <w:p>
      <w:pPr>
        <w:pStyle w:val="Heading1"/>
      </w:pPr>
      <w:r>
        <w:t xml:space="preserve">7. Lo que se revisó y NO está roto</w:t>
      </w:r>
    </w:p>
    <w:p>
      <w:pPr>
        <w:pStyle w:val="ListParagraph"/>
        <w:numPr>
          <w:ilvl w:val="0"/>
          <w:numId w:val="2"/>
        </w:numPr>
        <w:spacing w:after="60" w:line="264"/>
      </w:pPr>
      <w:r>
        <w:rPr>
          <w:b/>
          <w:bCs/>
        </w:rPr>
        <w:t xml:space="preserve">El circuito técnico:</w:t>
      </w:r>
      <w:r>
        <w:t xml:space="preserve"> la cola de análisis está vacía, el proceso corre cada minuto y los 42 reportes tienen análisis. No hay errores técnicos registrados.</w:t>
      </w:r>
    </w:p>
    <w:p>
      <w:pPr>
        <w:pStyle w:val="ListParagraph"/>
        <w:numPr>
          <w:ilvl w:val="0"/>
          <w:numId w:val="2"/>
        </w:numPr>
        <w:spacing w:after="60" w:line="264"/>
      </w:pPr>
      <w:r>
        <w:rPr>
          <w:b/>
          <w:bCs/>
        </w:rPr>
        <w:t xml:space="preserve">La zona:</w:t>
      </w:r>
      <w:r>
        <w:t xml:space="preserve"> los 48 barrios de CABA usan leyes de CABA; las 8 localidades de Avellaneda usan leyes nacionales y de la Provincia. Existe una segunda «Avellaneda» en la base (la ciudad de Santa Fe), sin leyes, pero la app ya la excluye de la lista.</w:t>
      </w:r>
    </w:p>
    <w:p>
      <w:pPr>
        <w:pStyle w:val="ListParagraph"/>
        <w:numPr>
          <w:ilvl w:val="0"/>
          <w:numId w:val="2"/>
        </w:numPr>
        <w:spacing w:after="60" w:line="264"/>
      </w:pPr>
      <w:r>
        <w:rPr>
          <w:b/>
          <w:bCs/>
        </w:rPr>
        <w:t xml:space="preserve">Las citas:</w:t>
      </w:r>
      <w:r>
        <w:t xml:space="preserve"> todas son textuales y se validan antes de guardarse.</w:t>
      </w:r>
    </w:p>
    <w:p>
      <w:pPr>
        <w:pStyle w:val="ListParagraph"/>
        <w:numPr>
          <w:ilvl w:val="0"/>
          <w:numId w:val="2"/>
        </w:numPr>
        <w:spacing w:after="60" w:line="264"/>
      </w:pPr>
      <w:r>
        <w:rPr>
          <w:b/>
          <w:bCs/>
        </w:rPr>
        <w:t xml:space="preserve">Las ramas:</w:t>
      </w:r>
      <w:r>
        <w:t xml:space="preserve"> las 8 ramas sin integrar que tocan el RAG no tienen trabajo pendiente: su contenido ya está en staging.</w:t>
      </w:r>
    </w:p>
    <w:p>
      <w:pPr>
        <w:pStyle w:val="ListParagraph"/>
        <w:numPr>
          <w:ilvl w:val="0"/>
          <w:numId w:val="2"/>
        </w:numPr>
        <w:spacing w:after="60" w:line="264"/>
      </w:pPr>
      <w:r>
        <w:rPr>
          <w:b/>
          <w:bCs/>
        </w:rPr>
        <w:t xml:space="preserve">La pantalla:</w:t>
      </w:r>
      <w:r>
        <w:t xml:space="preserve"> cada estado («Analizado», «No concluyente», «Sin normativa», «Asistencia») se muestra con su mensaje correcto.</w:t>
      </w:r>
    </w:p>
    <w:p>
      <w:pPr>
        <w:pStyle w:val="Heading1"/>
      </w:pPr>
      <w:r>
        <w:t xml:space="preserve">8. Línea de tiempo del RAG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Sprint</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Tareas</w:t>
            </w:r>
          </w:p>
        </w:tc>
        <w:tc>
          <w:tcPr>
            <w:tcW w:type="dxa" w:w="57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Qué dejó (y qué quedó pendiente)</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11 (05–11/09)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REP-2906, REP-3764, REP-2907</w:t>
            </w:r>
          </w:p>
        </w:tc>
        <w:tc>
          <w:tcPr>
            <w:tcW w:type="dxa" w:w="5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Corpus mínimo de 8 leyes y 6 casos de prueba. Primera versión del RAG. </w:t>
            </w:r>
            <w:r>
              <w:rPr>
                <w:b/>
                <w:bCs/>
                <w:sz w:val="18"/>
                <w:szCs w:val="18"/>
              </w:rPr>
              <w:t xml:space="preserve">Queda pendiente:</w:t>
            </w:r>
            <w:r>
              <w:rPr>
                <w:sz w:val="18"/>
                <w:szCs w:val="18"/>
              </w:rPr>
              <w:t xml:space="preserve"> vulnerabilidad social, comercio irregular y ambiente en CABA.</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12 (13–18/09)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REP-2908, REP-2909, REP-2910, REP-3769, REP-3772, REP-3773, REP-3777, despliegue y 6 rondas de verificación (REP-2908-VERIF)</w:t>
            </w:r>
          </w:p>
        </w:tc>
        <w:tc>
          <w:tcPr>
            <w:tcW w:type="dxa" w:w="5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RAG real funcionando en la base, análisis automático, validación de citas, filtro por categoría y seguridad. </w:t>
            </w:r>
            <w:r>
              <w:rPr>
                <w:b/>
                <w:bCs/>
                <w:sz w:val="18"/>
                <w:szCs w:val="18"/>
              </w:rPr>
              <w:t xml:space="preserve">Queda pendiente:</w:t>
            </w:r>
            <w:r>
              <w:rPr>
                <w:sz w:val="18"/>
                <w:szCs w:val="18"/>
              </w:rPr>
              <w:t xml:space="preserve"> medición completa de precisión; «asistencia» documentada pero no implementada.</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13 (19–25/09)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REP-3774, REP-3789, REP-3786, REP-2203, REP-3790</w:t>
            </w:r>
          </w:p>
        </w:tc>
        <w:tc>
          <w:tcPr>
            <w:tcW w:type="dxa" w:w="5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Herramienta de carga del corpus (sin leyes nuevas), fundamento visible en la app (sin sanciones), experimento de costo (se mantiene la configuración base), mínimo de 10 caracteres en la descripción y spike de la foto (PR #111, última integración a staging).</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14 (en curso)</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REP-3784, REP-3793</w:t>
            </w:r>
          </w:p>
        </w:tc>
        <w:tc>
          <w:tcPr>
            <w:tcW w:type="dxa" w:w="5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Medición de precisión (sin empezar) y anonimización real de fotos (en curso).</w:t>
            </w:r>
          </w:p>
        </w:tc>
      </w:tr>
    </w:tbl>
    <w:p>
      <w:pPr>
        <w:pStyle w:val="Heading1"/>
      </w:pPr>
      <w:r>
        <w:t xml:space="preserve">9. Plan de arreglo propuesto</w:t>
      </w:r>
    </w:p>
    <w:p>
      <w:pPr>
        <w:spacing w:after="120" w:line="276"/>
      </w:pPr>
      <w:r>
        <w:t xml:space="preserve">Ordenado por impacto y costo. Ninguno agrega costo por reporte.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4100"/>
        <w:gridCol w:w="1300"/>
        <w:gridCol w:w="1700"/>
        <w:gridCol w:w="2196"/>
      </w:tblGrid>
      <w:tr>
        <w:trPr>
          <w:tblHeader/>
        </w:trPr>
        <w:tc>
          <w:tcPr>
            <w:tcW w:type="dxa" w:w="4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Arreglo</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Resuelve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Esfuerzo</w:t>
            </w:r>
          </w:p>
        </w:tc>
        <w:tc>
          <w:tcPr>
            <w:tcW w:type="dxa" w:w="219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8"/>
                <w:szCs w:val="18"/>
              </w:rPr>
              <w:t xml:space="preserve">Quién</w:t>
            </w:r>
          </w:p>
        </w:tc>
      </w:tr>
      <w:tr>
        <w:tc>
          <w:tcPr>
            <w:tcW w:type="dxa" w:w="45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1</w:t>
            </w:r>
          </w:p>
        </w:tc>
        <w:tc>
          <w:tcPr>
            <w:tcW w:type="dxa" w:w="41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Vulnerabilidad social devuelve «asistencia» sin consultar a la IA</w:t>
            </w:r>
          </w:p>
        </w:tc>
        <w:tc>
          <w:tcPr>
            <w:tcW w:type="dxa" w:w="13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Punto 4</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Chico</w:t>
            </w:r>
          </w:p>
        </w:tc>
        <w:tc>
          <w:tcPr>
            <w:tcW w:type="dxa" w:w="2196"/>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Matías</w:t>
            </w:r>
          </w:p>
        </w:tc>
      </w:tr>
      <w:tr>
        <w:tc>
          <w:tcPr>
            <w:tcW w:type="dxa" w:w="45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2</w:t>
            </w:r>
          </w:p>
        </w:tc>
        <w:tc>
          <w:tcPr>
            <w:tcW w:type="dxa" w:w="41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Mostrar el nombre del artículo de sanción, sin montos</w:t>
            </w:r>
          </w:p>
        </w:tc>
        <w:tc>
          <w:tcPr>
            <w:tcW w:type="dxa" w:w="13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Punto 2</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Chico</w:t>
            </w:r>
          </w:p>
        </w:tc>
        <w:tc>
          <w:tcPr>
            <w:tcW w:type="dxa" w:w="2196"/>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PO decide · Matías</w:t>
            </w:r>
          </w:p>
        </w:tc>
      </w:tr>
      <w:tr>
        <w:tc>
          <w:tcPr>
            <w:tcW w:type="dxa" w:w="45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3</w:t>
            </w:r>
          </w:p>
        </w:tc>
        <w:tc>
          <w:tcPr>
            <w:tcW w:type="dxa" w:w="41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Ayuda en la pantalla de descripción («contá dónde…»)</w:t>
            </w:r>
          </w:p>
        </w:tc>
        <w:tc>
          <w:tcPr>
            <w:tcW w:type="dxa" w:w="13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Punto 5</w:t>
            </w:r>
          </w:p>
        </w:tc>
        <w:tc>
          <w:tcPr>
            <w:tcW w:type="dxa" w:w="17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Chico</w:t>
            </w:r>
          </w:p>
        </w:tc>
        <w:tc>
          <w:tcPr>
            <w:tcW w:type="dxa" w:w="2196"/>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20"/>
            </w:pPr>
            <w:r>
              <w:rPr>
                <w:sz w:val="18"/>
                <w:szCs w:val="18"/>
              </w:rPr>
              <w:t xml:space="preserve">Iván (UX) · Matías</w:t>
            </w:r>
          </w:p>
        </w:tc>
      </w:tr>
      <w:tr>
        <w:tc>
          <w:tcPr>
            <w:tcW w:type="dxa" w:w="4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4</w:t>
            </w:r>
          </w:p>
        </w:tc>
        <w:tc>
          <w:tcPr>
            <w:tcW w:type="dxa" w:w="4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Ampliar la biblioteca: Ley 2148 art. 7.1 completo, higiene urbana y vía pública de CABA, Ordenanza 27235 de Avellaneda</w:t>
            </w:r>
          </w:p>
        </w:tc>
        <w:tc>
          <w:tcPr>
            <w:tcW w:type="dxa" w:w="1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Puntos 1 y 3</w:t>
            </w:r>
          </w:p>
        </w:tc>
        <w:tc>
          <w:tcPr>
            <w:tcW w:type="dxa" w:w="17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Medio (relevamiento legal)</w:t>
            </w:r>
          </w:p>
        </w:tc>
        <w:tc>
          <w:tcPr>
            <w:tcW w:type="dxa" w:w="219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Hernán / Iván · carga Matías</w:t>
            </w:r>
          </w:p>
        </w:tc>
      </w:tr>
      <w:tr>
        <w:tc>
          <w:tcPr>
            <w:tcW w:type="dxa" w:w="4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5</w:t>
            </w:r>
          </w:p>
        </w:tc>
        <w:tc>
          <w:tcPr>
            <w:tcW w:type="dxa" w:w="4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Temperatura 0 y reglas al prompt, validadas con P-01</w:t>
            </w:r>
          </w:p>
        </w:tc>
        <w:tc>
          <w:tcPr>
            <w:tcW w:type="dxa" w:w="1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Punto 5</w:t>
            </w:r>
          </w:p>
        </w:tc>
        <w:tc>
          <w:tcPr>
            <w:tcW w:type="dxa" w:w="17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Medio</w:t>
            </w:r>
          </w:p>
        </w:tc>
        <w:tc>
          <w:tcPr>
            <w:tcW w:type="dxa" w:w="219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Matías</w:t>
            </w:r>
          </w:p>
        </w:tc>
      </w:tr>
      <w:t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6</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Categoría: segunda búsqueda sin filtro si no hay leyes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Punto 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Medio</w:t>
            </w:r>
          </w:p>
        </w:tc>
        <w:tc>
          <w:tcPr>
            <w:tcW w:type="dxa" w:w="21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Matías</w:t>
            </w:r>
          </w:p>
        </w:tc>
      </w:tr>
      <w:t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7</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Organismo competente por reglas (zona + categoría)</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Punto 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Medio</w:t>
            </w:r>
          </w:p>
        </w:tc>
        <w:tc>
          <w:tcPr>
            <w:tcW w:type="dxa" w:w="21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8"/>
                <w:szCs w:val="18"/>
              </w:rPr>
              <w:t xml:space="preserve">PO decide · Matías</w:t>
            </w:r>
          </w:p>
        </w:tc>
      </w:tr>
      <w:tr>
        <w:tc>
          <w:tcPr>
            <w:tcW w:type="dxa" w:w="4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8</w:t>
            </w:r>
          </w:p>
        </w:tc>
        <w:tc>
          <w:tcPr>
            <w:tcW w:type="dxa" w:w="4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REP-3784: medir sobre reportes reales, por zona y categoría</w:t>
            </w:r>
          </w:p>
        </w:tc>
        <w:tc>
          <w:tcPr>
            <w:tcW w:type="dxa" w:w="13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Punto 8</w:t>
            </w:r>
          </w:p>
        </w:tc>
        <w:tc>
          <w:tcPr>
            <w:tcW w:type="dxa" w:w="17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Medio</w:t>
            </w:r>
          </w:p>
        </w:tc>
        <w:tc>
          <w:tcPr>
            <w:tcW w:type="dxa" w:w="219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sz w:val="18"/>
                <w:szCs w:val="18"/>
              </w:rPr>
              <w:t xml:space="preserve">Iván</w:t>
            </w:r>
          </w:p>
        </w:tc>
      </w:tr>
    </w:tbl>
    <w:p>
      <w:pPr>
        <w:spacing w:after="80"/>
      </w:pPr>
    </w:p>
    <w:p>
      <w:pPr>
        <w:pStyle w:val="Heading2"/>
      </w:pPr>
      <w:r>
        <w:t xml:space="preserve">9.1 Decisiones que necesitamos</w:t>
      </w:r>
    </w:p>
    <w:p>
      <w:pPr>
        <w:pStyle w:val="ListParagraph"/>
        <w:numPr>
          <w:ilvl w:val="0"/>
          <w:numId w:val="4"/>
        </w:numPr>
        <w:spacing w:after="80" w:line="264"/>
      </w:pPr>
      <w:r>
        <w:rPr>
          <w:b/>
          <w:bCs/>
        </w:rPr>
        <w:t xml:space="preserve">PO:</w:t>
      </w:r>
      <w:r>
        <w:t xml:space="preserve"> ¿se puede mostrar el nombre de un artículo de sanción (sin montos) al vecino?</w:t>
      </w:r>
    </w:p>
    <w:p>
      <w:pPr>
        <w:pStyle w:val="ListParagraph"/>
        <w:numPr>
          <w:ilvl w:val="0"/>
          <w:numId w:val="4"/>
        </w:numPr>
        <w:spacing w:after="80" w:line="264"/>
      </w:pPr>
      <w:r>
        <w:rPr>
          <w:b/>
          <w:bCs/>
        </w:rPr>
        <w:t xml:space="preserve">PO / Hernán:</w:t>
      </w:r>
      <w:r>
        <w:t xml:space="preserve"> qué leyes se relevan primero para CABA (vía pública, desagües, higiene urbana) y quién lo hace.</w:t>
      </w:r>
    </w:p>
    <w:p>
      <w:pPr>
        <w:pStyle w:val="ListParagraph"/>
        <w:numPr>
          <w:ilvl w:val="0"/>
          <w:numId w:val="4"/>
        </w:numPr>
        <w:spacing w:after="80" w:line="264"/>
      </w:pPr>
      <w:r>
        <w:rPr>
          <w:b/>
          <w:bCs/>
        </w:rPr>
        <w:t xml:space="preserve">PO:</w:t>
      </w:r>
      <w:r>
        <w:t xml:space="preserve"> organismo competente: ¿por IA o por reglas fijas?</w:t>
      </w:r>
    </w:p>
    <w:p>
      <w:pPr>
        <w:pStyle w:val="ListParagraph"/>
        <w:numPr>
          <w:ilvl w:val="0"/>
          <w:numId w:val="4"/>
        </w:numPr>
        <w:spacing w:after="80" w:line="264"/>
      </w:pPr>
      <w:r>
        <w:rPr>
          <w:b/>
          <w:bCs/>
        </w:rPr>
        <w:t xml:space="preserve">PM:</w:t>
      </w:r>
      <w:r>
        <w:t xml:space="preserve"> ¿el plan entra en el Sprint 14 junto con REP-3793, o se reparte con el 15?</w:t>
      </w:r>
    </w:p>
    <w:p>
      <w:pPr>
        <w:pageBreakBefore/>
      </w:pPr>
    </w:p>
    <w:p>
      <w:pPr>
        <w:pStyle w:val="Heading1"/>
      </w:pPr>
      <w:r>
        <w:t xml:space="preserve">Anexo · Reportes revisados (últimos 7 días)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350"/>
        <w:gridCol w:w="1650"/>
        <w:gridCol w:w="194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7"/>
                <w:szCs w:val="17"/>
              </w:rPr>
              <w:t xml:space="preserve">Texto del vecino</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7"/>
                <w:szCs w:val="17"/>
              </w:rPr>
              <w:t xml:space="preserve">Zona</w:t>
            </w:r>
          </w:p>
        </w:tc>
        <w:tc>
          <w:tcPr>
            <w:tcW w:type="dxa" w:w="13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7"/>
                <w:szCs w:val="17"/>
              </w:rPr>
              <w:t xml:space="preserve">Categoría</w:t>
            </w:r>
          </w:p>
        </w:tc>
        <w:tc>
          <w:tcPr>
            <w:tcW w:type="dxa" w:w="16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7"/>
                <w:szCs w:val="17"/>
              </w:rPr>
              <w:t xml:space="preserve">Resultado</w:t>
            </w:r>
          </w:p>
        </w:tc>
        <w:tc>
          <w:tcPr>
            <w:tcW w:type="dxa" w:w="194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20"/>
            </w:pPr>
            <w:r>
              <w:rPr>
                <w:b/>
                <w:bCs/>
                <w:color w:val="FFFFFF"/>
                <w:sz w:val="17"/>
                <w:szCs w:val="17"/>
              </w:rPr>
              <w:t xml:space="preserve">Ley citada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Vehículo mal estacionado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Núñez</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sobre la mitad de la calle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Avellaneda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24.449 (visible)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sobre la vereda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Caballito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451 (oculta)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estacionado en el medio de la calle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451 (oculta)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en medio del campo estacionado sobre la calle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Sin normativa</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sobre la vereda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451 (oculta)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sobre la cera peatonal</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451 (oculta)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estacionado en la mitad de la calle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Avellaneda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24.449 (visible)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mal estacionado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Caballito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Basural con ratas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Almagro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Ambiente</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Calle agrietada (×3)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Puerto Madero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Infraestructura</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Sin normativa</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Pintura blanca en el asfalto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Retiro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Ambiente</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Sin normativa</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sobre la acera peatonal mal estacionado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Almagro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451 (oculta)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Basura en la calle, desbordada y tirada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Ambiente</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Terrazas de edificios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Ambiente</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 (texto sin contenido)</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mal estacionado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Puerto Madero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Auto mal estacionado.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Puerto Madero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451 (oculta)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Gente en la calle.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Puerto Madero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Vuln. social</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Sin normativa</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 (debería ser asistencia)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Mensaje de prueba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Retiro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 (correcto)</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Persona en situación de calle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Vuln. social</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Sin normativa</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 (debería ser asistencia)</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La camioneta está mal eatacionada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Almagro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No concluyente</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Basura en la calle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Ambiente</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Sin normativa</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Camión tapando rampa para discapacitados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Retiro</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Sin categoría</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2148 y Ley 451</w:t>
            </w:r>
          </w:p>
        </w:tc>
      </w:tr>
      <w:t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Camion sobre la vereda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Balvanera</w:t>
            </w:r>
          </w:p>
        </w:tc>
        <w:tc>
          <w:tcPr>
            <w:tcW w:type="dxa" w:w="1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Tránsito</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Con fundamento</w:t>
            </w:r>
          </w:p>
        </w:tc>
        <w:tc>
          <w:tcPr>
            <w:tcW w:type="dxa" w:w="1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sz w:val="17"/>
                <w:szCs w:val="17"/>
              </w:rPr>
              <w:t xml:space="preserve">Ley 451 (oculta)</w:t>
            </w:r>
          </w:p>
        </w:tc>
      </w:tr>
    </w:tbl>
    <w:p>
      <w:pPr>
        <w:spacing w:after="80"/>
      </w:pPr>
    </w:p>
    <w:p>
      <w:pPr>
        <w:spacing w:after="120" w:line="276"/>
      </w:pPr>
      <w:r>
        <w:rPr>
          <w:color w:val="595959"/>
          <w:sz w:val="18"/>
          <w:szCs w:val="18"/>
        </w:rPr>
        <w:t xml:space="preserve">Fuente: base real CiudadAR (tablas de reportes y análisis), consultada el 26/09/2026. Documentos del repositorio: </w:t>
      </w:r>
      <w:r>
        <w:rPr>
          <w:rFonts w:ascii="Consolas" w:cs="Consolas" w:eastAsia="Consolas" w:hAnsi="Consolas"/>
          <w:color w:val="595959"/>
          <w:sz w:val="18"/>
          <w:szCs w:val="18"/>
        </w:rPr>
        <w:t xml:space="preserve">docs/REP-3764_casos_esperados.md</w:t>
      </w:r>
      <w:r>
        <w:rPr>
          <w:color w:val="595959"/>
          <w:sz w:val="18"/>
          <w:szCs w:val="18"/>
        </w:rPr>
        <w:t xml:space="preserve">, </w:t>
      </w:r>
      <w:r>
        <w:rPr>
          <w:rFonts w:ascii="Consolas" w:cs="Consolas" w:eastAsia="Consolas" w:hAnsi="Consolas"/>
          <w:color w:val="595959"/>
          <w:sz w:val="18"/>
          <w:szCs w:val="18"/>
        </w:rPr>
        <w:t xml:space="preserve">docs/REP-3769_guia_ejecucion_seeds_y_RAG.md</w:t>
      </w:r>
      <w:r>
        <w:rPr>
          <w:color w:val="595959"/>
          <w:sz w:val="18"/>
          <w:szCs w:val="18"/>
        </w:rPr>
        <w:t xml:space="preserve">, </w:t>
      </w:r>
      <w:r>
        <w:rPr>
          <w:rFonts w:ascii="Consolas" w:cs="Consolas" w:eastAsia="Consolas" w:hAnsi="Consolas"/>
          <w:color w:val="595959"/>
          <w:sz w:val="18"/>
          <w:szCs w:val="18"/>
        </w:rPr>
        <w:t xml:space="preserve">docs/REP-3786_experimento-optimizacion-rag.md</w:t>
      </w:r>
      <w:r>
        <w:rPr>
          <w:color w:val="595959"/>
          <w:sz w:val="18"/>
          <w:szCs w:val="18"/>
        </w:rPr>
        <w:t xml:space="preserve">, </w:t>
      </w:r>
      <w:r>
        <w:rPr>
          <w:rFonts w:ascii="Consolas" w:cs="Consolas" w:eastAsia="Consolas" w:hAnsi="Consolas"/>
          <w:color w:val="595959"/>
          <w:sz w:val="18"/>
          <w:szCs w:val="18"/>
        </w:rPr>
        <w:t xml:space="preserve">.agents/docs/normativas/normativas/PENDIENTES_corpus.md</w:t>
      </w:r>
      <w:r>
        <w:rPr>
          <w:color w:val="595959"/>
          <w:sz w:val="18"/>
          <w:szCs w:val="18"/>
        </w:rPr>
        <w:t xml:space="preserve">.</w:t>
      </w:r>
    </w:p>
    <w:sectPr>
      <w:headerReference w:type="default" r:id="rId7"/>
      <w:headerReference w:type="first" r:id="rId8"/>
      <w:footerReference w:type="default" r:id="rId9"/>
      <w:footerReference w:type="first" r:id="rId10"/>
      <w:pgSz w:w="11906" w:h="16838" w:orient="portrait"/>
      <w:pgMar w:top="12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746"/>
      </w:tabs>
    </w:pPr>
    <w:r>
      <w:rPr>
        <w:color w:val="595959"/>
        <w:sz w:val="17"/>
        <w:szCs w:val="17"/>
      </w:rPr>
      <w:t xml:space="preserve">Reportalo · Diagnóstico del RAG</w:t>
    </w:r>
    <w:r>
      <w:rPr>
        <w:color w:val="595959"/>
        <w:sz w:val="17"/>
        <w:szCs w:val="17"/>
      </w:rPr>
      <w:t xml:space="preserve">	Sprint 14 · 26/09/2026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del análisis legal con IA (RAG)</dc:title>
  <dc:creator>Matías Krepchuk</dc:creator>
  <cp:lastModifiedBy>Un-named</cp:lastModifiedBy>
  <cp:revision>1</cp:revision>
  <dcterms:created xsi:type="dcterms:W3CDTF">2026-09-26T16:18:50.770Z</dcterms:created>
  <dcterms:modified xsi:type="dcterms:W3CDTF">2026-09-26T16:18:50.781Z</dcterms:modified>
</cp:coreProperties>
</file>

<file path=docProps/custom.xml><?xml version="1.0" encoding="utf-8"?>
<Properties xmlns="http://schemas.openxmlformats.org/officeDocument/2006/custom-properties" xmlns:vt="http://schemas.openxmlformats.org/officeDocument/2006/docPropsVTypes"/>
</file>