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A2540"/>
          <w:sz w:val="64"/>
        </w:rPr>
        <w:t>Reportalo</w:t>
      </w:r>
    </w:p>
    <w:p>
      <w:pPr>
        <w:spacing w:after="280"/>
      </w:pPr>
      <w:r>
        <w:rPr>
          <w:rFonts w:ascii="Calibri" w:hAnsi="Calibri"/>
          <w:b w:val="0"/>
          <w:i/>
          <w:color w:val="3A3A3C"/>
          <w:sz w:val="26"/>
        </w:rPr>
        <w:t>Plataforma de Auditoría Ciudadana</w:t>
      </w:r>
    </w:p>
    <w:p>
      <w:pPr>
        <w:spacing w:after="240"/>
      </w:pPr>
      <w:r>
        <w:rPr>
          <w:rFonts w:ascii="Calibri" w:hAnsi="Calibri"/>
          <w:b/>
          <w:i w:val="0"/>
          <w:color w:val="1D5FA6"/>
          <w:sz w:val="34"/>
        </w:rPr>
        <w:t>EL RAG JURÍDICO DE PUNTA A PUNTA — CÓMO FUNCIONA, CÓMO SE GUARDA, CÓMO SE MANTIENE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Versión 1.0 · 12 de septiembre de 2026 · Construcción · Proyecto RAR-2026</w:t>
      </w:r>
    </w:p>
    <w:p>
      <w:pPr>
        <w:spacing w:after="60"/>
      </w:pPr>
      <w:r>
        <w:rPr>
          <w:rFonts w:ascii="Calibri" w:hAnsi="Calibri"/>
          <w:b/>
          <w:i w:val="0"/>
          <w:color w:val="6B7280"/>
          <w:sz w:val="20"/>
        </w:rPr>
        <w:t>Jira:</w:t>
      </w:r>
      <w:r>
        <w:rPr>
          <w:rFonts w:ascii="Calibri" w:hAnsi="Calibri"/>
          <w:b w:val="0"/>
          <w:i w:val="0"/>
          <w:color w:val="6B7280"/>
          <w:sz w:val="20"/>
        </w:rPr>
        <w:t xml:space="preserve"> épica </w:t>
      </w:r>
      <w:hyperlink r:id="rId9">
        <w:r>
          <w:rPr>
            <w:rFonts w:ascii="Calibri" w:hAnsi="Calibri"/>
            <w:color w:val="1D5FA6"/>
            <w:u w:val="single"/>
            <w:sz w:val="20"/>
          </w:rPr>
          <w:t xml:space="preserve">REP-1009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(IA jurídica / RAG) · </w:t>
      </w:r>
      <w:hyperlink r:id="rId10">
        <w:r>
          <w:rPr>
            <w:rFonts w:ascii="Calibri" w:hAnsi="Calibri"/>
            <w:color w:val="1D5FA6"/>
            <w:u w:val="single"/>
            <w:sz w:val="20"/>
          </w:rPr>
          <w:t xml:space="preserve">REP-2908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(Sprint 12) · </w:t>
      </w:r>
      <w:hyperlink r:id="rId11">
        <w:r>
          <w:rPr>
            <w:rFonts w:ascii="Calibri" w:hAnsi="Calibri"/>
            <w:color w:val="1D5FA6"/>
            <w:u w:val="single"/>
            <w:sz w:val="20"/>
          </w:rPr>
          <w:t xml:space="preserve">REP-3769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(DER, Sprint 12)</w:t>
      </w:r>
      <w:r>
        <w:br/>
      </w:r>
      <w:r>
        <w:rPr>
          <w:rFonts w:ascii="Calibri" w:hAnsi="Calibri"/>
          <w:b/>
          <w:i w:val="0"/>
          <w:color w:val="6B7280"/>
          <w:sz w:val="20"/>
        </w:rPr>
        <w:t>Confluence:</w:t>
      </w:r>
      <w:r>
        <w:rPr>
          <w:rFonts w:ascii="Calibri" w:hAnsi="Calibri"/>
          <w:b w:val="0"/>
          <w:i w:val="0"/>
          <w:color w:val="6B7280"/>
          <w:sz w:val="20"/>
        </w:rPr>
        <w:t xml:space="preserve"> espacio </w:t>
      </w:r>
      <w:r>
        <w:rPr>
          <w:rFonts w:ascii="Consolas" w:hAnsi="Consolas"/>
          <w:b w:val="0"/>
          <w:i w:val="0"/>
          <w:color w:val="B42318"/>
          <w:sz w:val="20"/>
        </w:rPr>
        <w:t>Reportalo</w:t>
      </w:r>
      <w:r>
        <w:rPr>
          <w:rFonts w:ascii="Calibri" w:hAnsi="Calibri"/>
          <w:b w:val="0"/>
          <w:i w:val="0"/>
          <w:color w:val="6B7280"/>
          <w:sz w:val="20"/>
        </w:rPr>
        <w:t xml:space="preserve"> — pendiente de publicar</w:t>
      </w:r>
      <w:r>
        <w:br/>
      </w:r>
      <w:r>
        <w:rPr>
          <w:rFonts w:ascii="Calibri" w:hAnsi="Calibri"/>
          <w:b/>
          <w:i w:val="0"/>
          <w:color w:val="6B7280"/>
          <w:sz w:val="20"/>
        </w:rPr>
        <w:t>Referencia:</w:t>
      </w:r>
      <w:r>
        <w:rPr>
          <w:rFonts w:ascii="Calibri" w:hAnsi="Calibri"/>
          <w:b w:val="0"/>
          <w:i w:val="0"/>
          <w:color w:val="6B7280"/>
          <w:sz w:val="20"/>
        </w:rPr>
        <w:t xml:space="preserve"> </w:t>
      </w:r>
      <w:hyperlink r:id="rId12">
        <w:r>
          <w:rPr>
            <w:rFonts w:ascii="Calibri" w:hAnsi="Calibri"/>
            <w:color w:val="1D5FA6"/>
            <w:u w:val="single"/>
            <w:sz w:val="20"/>
          </w:rPr>
          <w:t xml:space="preserve">Guía del corpus REP-2906 v2.1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· </w:t>
      </w:r>
      <w:hyperlink r:id="rId13">
        <w:r>
          <w:rPr>
            <w:rFonts w:ascii="Calibri" w:hAnsi="Calibri"/>
            <w:color w:val="1D5FA6"/>
            <w:u w:val="single"/>
            <w:sz w:val="20"/>
          </w:rPr>
          <w:t xml:space="preserve">DER v3.2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· </w:t>
      </w:r>
      <w:hyperlink r:id="rId14">
        <w:r>
          <w:rPr>
            <w:rFonts w:ascii="Calibri" w:hAnsi="Calibri"/>
            <w:color w:val="1D5FA6"/>
            <w:u w:val="single"/>
            <w:sz w:val="20"/>
          </w:rPr>
          <w:t xml:space="preserve">Decisiones de arquitectura del RAG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· </w:t>
      </w:r>
      <w:hyperlink r:id="rId15">
        <w:r>
          <w:rPr>
            <w:rFonts w:ascii="Calibri" w:hAnsi="Calibri"/>
            <w:color w:val="1D5FA6"/>
            <w:u w:val="single"/>
            <w:sz w:val="20"/>
          </w:rPr>
          <w:t xml:space="preserve">Comparativa de LLM</w:t>
        </w:r>
      </w:hyperlink>
      <w:r>
        <w:rPr>
          <w:rFonts w:ascii="Calibri" w:hAnsi="Calibri"/>
          <w:b w:val="0"/>
          <w:i w:val="0"/>
          <w:color w:val="6B7280"/>
          <w:sz w:val="20"/>
        </w:rPr>
        <w:t xml:space="preserve"> · </w:t>
      </w:r>
      <w:hyperlink r:id="rId16">
        <w:r>
          <w:rPr>
            <w:rFonts w:ascii="Calibri" w:hAnsi="Calibri"/>
            <w:color w:val="1D5FA6"/>
            <w:u w:val="single"/>
            <w:sz w:val="20"/>
          </w:rPr>
          <w:t xml:space="preserve">Anexo C — Arquitectura</w:t>
        </w:r>
      </w:hyperlink>
    </w:p>
    <w:p>
      <w:pPr>
        <w:spacing w:after="60"/>
      </w:pPr>
      <w:r>
        <w:rPr>
          <w:rFonts w:ascii="Calibri" w:hAnsi="Calibri"/>
          <w:b/>
          <w:i w:val="0"/>
          <w:color w:val="6B7280"/>
          <w:sz w:val="20"/>
        </w:rPr>
        <w:t>Equipo:</w:t>
      </w:r>
      <w:r>
        <w:rPr>
          <w:rFonts w:ascii="Calibri" w:hAnsi="Calibri"/>
          <w:b w:val="0"/>
          <w:i w:val="0"/>
          <w:color w:val="6B7280"/>
          <w:sz w:val="20"/>
        </w:rPr>
        <w:t xml:space="preserve"> Hernán Gregorini (PO / Autor) · Leonel Nuñez (PM / Scrum Master) · Matías Krepchuk (Líder Técnico · UX/UI) · Iván Juárez (QA · UX/UI)</w:t>
      </w:r>
    </w:p>
    <w:p>
      <w:pPr>
        <w:spacing w:after="60"/>
      </w:pPr>
      <w:r>
        <w:rPr>
          <w:rFonts w:ascii="Calibri" w:hAnsi="Calibri"/>
          <w:b/>
          <w:i w:val="0"/>
          <w:color w:val="6B7280"/>
          <w:sz w:val="20"/>
        </w:rPr>
        <w:t>Consultor Especialista:</w:t>
      </w:r>
      <w:r>
        <w:rPr>
          <w:rFonts w:ascii="Calibri" w:hAnsi="Calibri"/>
          <w:b w:val="0"/>
          <w:i w:val="0"/>
          <w:color w:val="6B7280"/>
          <w:sz w:val="20"/>
        </w:rPr>
        <w:t xml:space="preserve"> Carlos Ruiz (auditor externo · asesoría metodológica)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28" w:color="1D5FA6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0440"/>
      </w:tblGrid>
      <w:tr>
        <w:tc>
          <w:tcPr>
            <w:tcW w:type="dxa" w:w="10440"/>
            <w:tcMar>
              <w:top w:w="140" w:type="dxa"/>
              <w:bottom w:w="140" w:type="dxa"/>
              <w:left w:w="180" w:type="dxa"/>
              <w:right w:w="180" w:type="dxa"/>
            </w:tcMar>
            <w:shd w:val="clear" w:color="auto" w:fill="EAF2FB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1"/>
              </w:rPr>
              <w:t>Propósito.</w:t>
            </w:r>
            <w:r>
              <w:rPr>
                <w:rFonts w:ascii="Calibri" w:hAnsi="Calibri"/>
                <w:b w:val="0"/>
                <w:i w:val="0"/>
                <w:color w:val="1C1C1E"/>
                <w:sz w:val="21"/>
              </w:rPr>
              <w:t xml:space="preserve"> El RAG es el corazón de Reportalo: es lo que convierte una queja en un reclamo con fundamento legal. Este documento lo explica completo y sin inventar nada. Cada pieza es algo que hoy existe, está documentado por su proveedor y se puede reproducir en nuestro stack (Supabase + pgvector + Edge Functions + Gemini). Las secciones 1 a 3 están escritas para cualquiera; de la 4 en adelante entran en detalle técnico.</w:t>
            </w:r>
          </w:p>
        </w:tc>
      </w:tr>
    </w:tbl>
    <w:p>
      <w:pPr>
        <w:spacing w:after="120"/>
      </w:pPr>
    </w:p>
    <w:p>
      <w:pPr>
        <w:spacing w:before="120" w:after="240"/>
        <w:pBdr>
          <w:bottom w:val="single" w:sz="6" w:space="1" w:color="D0D5DD"/>
        </w:pBdr>
      </w:pP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1. Qué es un RAG, sin tecnicismos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Pensemos en una </w:t>
      </w:r>
      <w:r>
        <w:rPr>
          <w:rFonts w:ascii="Calibri" w:hAnsi="Calibri"/>
          <w:b/>
          <w:i w:val="0"/>
          <w:color w:val="1C1C1E"/>
          <w:sz w:val="22"/>
        </w:rPr>
        <w:t>biblioteca jurídica con dos empleados</w:t>
      </w:r>
      <w:r>
        <w:rPr>
          <w:rFonts w:ascii="Calibri" w:hAnsi="Calibri"/>
          <w:b w:val="0"/>
          <w:i w:val="0"/>
          <w:color w:val="1C1C1E"/>
          <w:sz w:val="22"/>
        </w:rPr>
        <w:t>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La biblioteca</w:t>
      </w:r>
      <w:r>
        <w:rPr>
          <w:rFonts w:ascii="Calibri" w:hAnsi="Calibri"/>
          <w:b w:val="0"/>
          <w:i w:val="0"/>
          <w:color w:val="1C1C1E"/>
          <w:sz w:val="22"/>
        </w:rPr>
        <w:t xml:space="preserve"> es el corpus: los artículos de ley, verificados y copiados textualmente de la fuente oficial.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El bibliotecario</w:t>
      </w:r>
      <w:r>
        <w:rPr>
          <w:rFonts w:ascii="Calibri" w:hAnsi="Calibri"/>
          <w:b w:val="0"/>
          <w:i w:val="0"/>
          <w:color w:val="1C1C1E"/>
          <w:sz w:val="22"/>
        </w:rPr>
        <w:t xml:space="preserve"> es el buscador. No sabe derecho: su único trabajo es, dado un reclamo, traer los 5 o 6 artículos que más se le parecen, </w:t>
      </w:r>
      <w:r>
        <w:rPr>
          <w:rFonts w:ascii="Calibri" w:hAnsi="Calibri"/>
          <w:b/>
          <w:i w:val="0"/>
          <w:color w:val="1C1C1E"/>
          <w:sz w:val="22"/>
        </w:rPr>
        <w:t>y solo de las estanterías de la jurisdicción que corresponde</w:t>
      </w:r>
      <w:r>
        <w:rPr>
          <w:rFonts w:ascii="Calibri" w:hAnsi="Calibri"/>
          <w:b w:val="0"/>
          <w:i w:val="0"/>
          <w:color w:val="1C1C1E"/>
          <w:sz w:val="22"/>
        </w:rPr>
        <w:t>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El redactor</w:t>
      </w:r>
      <w:r>
        <w:rPr>
          <w:rFonts w:ascii="Calibri" w:hAnsi="Calibri"/>
          <w:b w:val="0"/>
          <w:i w:val="0"/>
          <w:color w:val="1C1C1E"/>
          <w:sz w:val="22"/>
        </w:rPr>
        <w:t xml:space="preserve"> es el LLM (Gemini). Recibe el reclamo y esos pocos artículos, y redacta el fundamento con una regla estricta: </w:t>
      </w:r>
      <w:r>
        <w:rPr>
          <w:rFonts w:ascii="Calibri" w:hAnsi="Calibri"/>
          <w:b/>
          <w:i w:val="0"/>
          <w:color w:val="1C1C1E"/>
          <w:sz w:val="22"/>
        </w:rPr>
        <w:t>solo puede usar lo que le trajeron</w:t>
      </w:r>
      <w:r>
        <w:rPr>
          <w:rFonts w:ascii="Calibri" w:hAnsi="Calibri"/>
          <w:b w:val="0"/>
          <w:i w:val="0"/>
          <w:color w:val="1C1C1E"/>
          <w:sz w:val="22"/>
        </w:rPr>
        <w:t>. Si con eso no alcanza, tiene que decir "no encontré normativa" en lugar de completar de memoria.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RAG significa exactamente eso: </w:t>
      </w:r>
      <w:r>
        <w:rPr>
          <w:rFonts w:ascii="Calibri" w:hAnsi="Calibri"/>
          <w:b w:val="0"/>
          <w:i/>
          <w:color w:val="1C1C1E"/>
          <w:sz w:val="22"/>
        </w:rPr>
        <w:t>Retrieval-Augmented Generation</w:t>
      </w:r>
      <w:r>
        <w:rPr>
          <w:rFonts w:ascii="Calibri" w:hAnsi="Calibri"/>
          <w:b w:val="0"/>
          <w:i w:val="0"/>
          <w:color w:val="1C1C1E"/>
          <w:sz w:val="22"/>
        </w:rPr>
        <w:t>, generación (el redactor) aumentada con recuperación (el bibliotecario).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¿Por qué no preguntarle directo al LLM?</w:t>
      </w:r>
      <w:r>
        <w:rPr>
          <w:rFonts w:ascii="Calibri" w:hAnsi="Calibri"/>
          <w:b w:val="0"/>
          <w:i w:val="0"/>
          <w:color w:val="1C1C1E"/>
          <w:sz w:val="22"/>
        </w:rPr>
        <w:t xml:space="preserve"> Porque un LLM sin biblioteca responde con lo que "recuerda" de su entrenamiento: puede citar una ley derogada, un artículo que no existe o una norma de otra provincia, con total seguridad. En Reportalo, una cita falsa enviada a un organismo destruye la credibilidad del producto. El RAG obliga a que cada cita salga de un texto que nosotros verificamos.</w:t>
      </w:r>
    </w:p>
    <w:p>
      <w:pPr>
        <w:spacing w:before="200" w:after="100"/>
      </w:pPr>
      <w:r>
        <w:rPr>
          <w:rFonts w:ascii="Calibri" w:hAnsi="Calibri"/>
          <w:b/>
          <w:i w:val="0"/>
          <w:color w:val="0A2540"/>
          <w:sz w:val="24"/>
        </w:rPr>
        <w:t>1.1 Qué es "vectorizar"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El bibliotecario no busca por palabras: busca por </w:t>
      </w:r>
      <w:r>
        <w:rPr>
          <w:rFonts w:ascii="Calibri" w:hAnsi="Calibri"/>
          <w:b/>
          <w:i w:val="0"/>
          <w:color w:val="1C1C1E"/>
          <w:sz w:val="22"/>
        </w:rPr>
        <w:t>significado</w:t>
      </w:r>
      <w:r>
        <w:rPr>
          <w:rFonts w:ascii="Calibri" w:hAnsi="Calibri"/>
          <w:b w:val="0"/>
          <w:i w:val="0"/>
          <w:color w:val="1C1C1E"/>
          <w:sz w:val="22"/>
        </w:rPr>
        <w:t xml:space="preserve">. Para eso, cada artículo se convierte en una lista de 768 números, llamada </w:t>
      </w:r>
      <w:r>
        <w:rPr>
          <w:rFonts w:ascii="Calibri" w:hAnsi="Calibri"/>
          <w:b w:val="0"/>
          <w:i/>
          <w:color w:val="1C1C1E"/>
          <w:sz w:val="22"/>
        </w:rPr>
        <w:t>vector</w:t>
      </w:r>
      <w:r>
        <w:rPr>
          <w:rFonts w:ascii="Calibri" w:hAnsi="Calibri"/>
          <w:b w:val="0"/>
          <w:i w:val="0"/>
          <w:color w:val="1C1C1E"/>
          <w:sz w:val="22"/>
        </w:rPr>
        <w:t xml:space="preserve"> o </w:t>
      </w:r>
      <w:r>
        <w:rPr>
          <w:rFonts w:ascii="Calibri" w:hAnsi="Calibri"/>
          <w:b w:val="0"/>
          <w:i/>
          <w:color w:val="1C1C1E"/>
          <w:sz w:val="22"/>
        </w:rPr>
        <w:t>embedding</w:t>
      </w:r>
      <w:r>
        <w:rPr>
          <w:rFonts w:ascii="Calibri" w:hAnsi="Calibri"/>
          <w:b w:val="0"/>
          <w:i w:val="0"/>
          <w:color w:val="1C1C1E"/>
          <w:sz w:val="22"/>
        </w:rPr>
        <w:t xml:space="preserve">. Esos números no los inventamos nosotros: los calcula un modelo de embeddings (hoy, </w:t>
      </w:r>
      <w:r>
        <w:rPr>
          <w:rFonts w:ascii="Consolas" w:hAnsi="Consolas"/>
          <w:b w:val="0"/>
          <w:i w:val="0"/>
          <w:color w:val="B42318"/>
          <w:sz w:val="22"/>
        </w:rPr>
        <w:t>gemini-embedding-2</w:t>
      </w:r>
      <w:r>
        <w:rPr>
          <w:rFonts w:ascii="Calibri" w:hAnsi="Calibri"/>
          <w:b w:val="0"/>
          <w:i w:val="0"/>
          <w:color w:val="1C1C1E"/>
          <w:sz w:val="22"/>
        </w:rPr>
        <w:t xml:space="preserve"> de Google).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La propiedad que importa es simple: </w:t>
      </w:r>
      <w:r>
        <w:rPr>
          <w:rFonts w:ascii="Calibri" w:hAnsi="Calibri"/>
          <w:b/>
          <w:i w:val="0"/>
          <w:color w:val="1C1C1E"/>
          <w:sz w:val="22"/>
        </w:rPr>
        <w:t>textos que dicen cosas parecidas producen listas de números parecidas</w:t>
      </w:r>
      <w:r>
        <w:rPr>
          <w:rFonts w:ascii="Calibri" w:hAnsi="Calibri"/>
          <w:b w:val="0"/>
          <w:i w:val="0"/>
          <w:color w:val="1C1C1E"/>
          <w:sz w:val="22"/>
        </w:rPr>
        <w:t>. Por ejemplo: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>"Hay un auto parado en doble fila" y "vehículo detenido sobre la calzada obstaculizando la circulación" usan palabras distintas, pero sus vectores quedan cerca.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>"Hay un bache enorme en la esquina" queda lejos de los dos.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Cuando llega un reporte, se vectoriza también su texto y el bibliotecario trae los artículos cuyos vectores quedan más cerca. Esa cercanía se mide con la </w:t>
      </w:r>
      <w:r>
        <w:rPr>
          <w:rFonts w:ascii="Calibri" w:hAnsi="Calibri"/>
          <w:b w:val="0"/>
          <w:i/>
          <w:color w:val="1C1C1E"/>
          <w:sz w:val="22"/>
        </w:rPr>
        <w:t>similitud coseno</w:t>
      </w:r>
      <w:r>
        <w:rPr>
          <w:rFonts w:ascii="Calibri" w:hAnsi="Calibri"/>
          <w:b w:val="0"/>
          <w:i w:val="0"/>
          <w:color w:val="1C1C1E"/>
          <w:sz w:val="22"/>
        </w:rPr>
        <w:t>: un número que va de 0 (nada que ver) a 1 (dicen lo mismo).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Una aclaración importante: </w:t>
      </w:r>
      <w:r>
        <w:rPr>
          <w:rFonts w:ascii="Calibri" w:hAnsi="Calibri"/>
          <w:b/>
          <w:i w:val="0"/>
          <w:color w:val="1C1C1E"/>
          <w:sz w:val="22"/>
        </w:rPr>
        <w:t>la jurisdicción no se vectoriza.</w:t>
      </w:r>
      <w:r>
        <w:rPr>
          <w:rFonts w:ascii="Calibri" w:hAnsi="Calibri"/>
          <w:b w:val="0"/>
          <w:i w:val="0"/>
          <w:color w:val="1C1C1E"/>
          <w:sz w:val="22"/>
        </w:rPr>
        <w:t xml:space="preserve"> Un vector no distingue "Avellaneda, Buenos Aires" de "Avellaneda, Santa Fe"; una clave de la base de datos sí. Por eso el bibliotecario primero decide </w:t>
      </w:r>
      <w:r>
        <w:rPr>
          <w:rFonts w:ascii="Calibri" w:hAnsi="Calibri"/>
          <w:b w:val="0"/>
          <w:i/>
          <w:color w:val="1C1C1E"/>
          <w:sz w:val="22"/>
        </w:rPr>
        <w:t>en qué estanterías puede buscar</w:t>
      </w:r>
      <w:r>
        <w:rPr>
          <w:rFonts w:ascii="Calibri" w:hAnsi="Calibri"/>
          <w:b w:val="0"/>
          <w:i w:val="0"/>
          <w:color w:val="1C1C1E"/>
          <w:sz w:val="22"/>
        </w:rPr>
        <w:t xml:space="preserve"> (por claves geográficas) y recién después busca por significado dentro de ellas. Está en la guía del corpus de REP-2906, §6.4.</w:t>
      </w:r>
    </w:p>
    <w:p>
      <w:pPr>
        <w:spacing w:before="200" w:after="100"/>
      </w:pPr>
      <w:r>
        <w:rPr>
          <w:rFonts w:ascii="Calibri" w:hAnsi="Calibri"/>
          <w:b/>
          <w:i w:val="0"/>
          <w:color w:val="0A2540"/>
          <w:sz w:val="24"/>
        </w:rPr>
        <w:t>1.2 Qué es pgvector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pgvector es una extensión de PostgreSQL, la base que ya usamos en Supabase, que agrega un tipo de dato </w:t>
      </w:r>
      <w:r>
        <w:rPr>
          <w:rFonts w:ascii="Consolas" w:hAnsi="Consolas"/>
          <w:b w:val="0"/>
          <w:i w:val="0"/>
          <w:color w:val="B42318"/>
          <w:sz w:val="22"/>
        </w:rPr>
        <w:t>vector</w:t>
      </w:r>
      <w:r>
        <w:rPr>
          <w:rFonts w:ascii="Calibri" w:hAnsi="Calibri"/>
          <w:b w:val="0"/>
          <w:i w:val="0"/>
          <w:color w:val="1C1C1E"/>
          <w:sz w:val="22"/>
        </w:rPr>
        <w:t xml:space="preserve"> y la operación "traeme los más parecidos". Esto significa que </w:t>
      </w:r>
      <w:r>
        <w:rPr>
          <w:rFonts w:ascii="Calibri" w:hAnsi="Calibri"/>
          <w:b/>
          <w:i w:val="0"/>
          <w:color w:val="1C1C1E"/>
          <w:sz w:val="22"/>
        </w:rPr>
        <w:t>la biblioteca, los vectores, los reportes y los usuarios viven en la misma base de datos</w:t>
      </w:r>
      <w:r>
        <w:rPr>
          <w:rFonts w:ascii="Calibri" w:hAnsi="Calibri"/>
          <w:b w:val="0"/>
          <w:i w:val="0"/>
          <w:color w:val="1C1C1E"/>
          <w:sz w:val="22"/>
        </w:rPr>
        <w:t>. Por eso se descartó Qdrant (</w:t>
      </w:r>
      <w:hyperlink r:id="rId17">
        <w:r>
          <w:rPr>
            <w:rFonts w:ascii="Calibri" w:hAnsi="Calibri"/>
            <w:color w:val="1D5FA6"/>
            <w:u w:val="single"/>
            <w:sz w:val="22"/>
          </w:rPr>
          <w:t xml:space="preserve">REP-3431</w:t>
        </w:r>
      </w:hyperlink>
      <w:r>
        <w:rPr>
          <w:rFonts w:ascii="Calibri" w:hAnsi="Calibri"/>
          <w:b w:val="0"/>
          <w:i w:val="0"/>
          <w:color w:val="1C1C1E"/>
          <w:sz w:val="22"/>
        </w:rPr>
        <w:t>): hacía lo mismo, pero como un servicio aparte.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2. ¿Dónde se cargan los PDF, DOCX o MD?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El RAG nunca lee un PDF cuando llega un reporte.</w:t>
      </w:r>
      <w:r>
        <w:rPr>
          <w:rFonts w:ascii="Calibri" w:hAnsi="Calibri"/>
          <w:b w:val="0"/>
          <w:i w:val="0"/>
          <w:color w:val="1C1C1E"/>
          <w:sz w:val="22"/>
        </w:rPr>
        <w:t xml:space="preserve"> Lee filas de la base de datos. Los archivos son la materia prima de la carga, no lo que se consulta. La práctica de mercado es separar tres cosas: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Dónde vive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Para qué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El archivo oficial tal como se descargó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(PDF, HTML)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Supabase Storage, bucket privado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corpus-fuentes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(columna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snapshot_path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)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Auditoría: poder mostrar de dónde salió cada texto, aunque la web oficial cambie o se caiga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El texto literal verificado, artículo por artículo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Hoy: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docs/fuentes/normativas/*.md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(una cabecera con fuente y fecha, y el bloque de texto literal). En producción: la tabla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knowledge_fragments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Es lo que se vectoriza y lo que se cita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Los vectores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Tabla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fragment_embeddings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Es lo que usa el bibliotecario para buscar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El formato de trabajo recomendado es </w:t>
      </w:r>
      <w:r>
        <w:rPr>
          <w:rFonts w:ascii="Calibri" w:hAnsi="Calibri"/>
          <w:b/>
          <w:i w:val="0"/>
          <w:color w:val="1C1C1E"/>
          <w:sz w:val="22"/>
        </w:rPr>
        <w:t>Markdown con el texto literal</w:t>
      </w:r>
      <w:r>
        <w:rPr>
          <w:rFonts w:ascii="Calibri" w:hAnsi="Calibri"/>
          <w:b w:val="0"/>
          <w:i w:val="0"/>
          <w:color w:val="1C1C1E"/>
          <w:sz w:val="22"/>
        </w:rPr>
        <w:t>, como los archivos que ya armamos en REP-2906. Los PDF sirven de respaldo, pero la extracción automática falla con algunos: los boletines de SIBOM salen ilegibles por sus fuentes, según comprobó la investigación de REP-2906. DOCX no aporta nada: la fuente oficial nunca es un Word.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3. Un ejemplo completo: la Ley Nacional de Tránsito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>Sigamos la Ley 24.449 desde la web oficial hasta un reporte de Avellaneda.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Paso 1 — Leerla.</w:t>
      </w:r>
      <w:r>
        <w:rPr>
          <w:rFonts w:ascii="Calibri" w:hAnsi="Calibri"/>
          <w:b w:val="0"/>
          <w:i w:val="0"/>
          <w:color w:val="1C1C1E"/>
          <w:sz w:val="22"/>
        </w:rPr>
        <w:t xml:space="preserve"> Se descarga el texto consolidado de Infoleg (servicios.infoleg.gob.ar). Se guarda la copia en Storage y se extrae </w:t>
      </w:r>
      <w:r>
        <w:rPr>
          <w:rFonts w:ascii="Calibri" w:hAnsi="Calibri"/>
          <w:b/>
          <w:i w:val="0"/>
          <w:color w:val="1C1C1E"/>
          <w:sz w:val="22"/>
        </w:rPr>
        <w:t>literal</w:t>
      </w:r>
      <w:r>
        <w:rPr>
          <w:rFonts w:ascii="Calibri" w:hAnsi="Calibri"/>
          <w:b w:val="0"/>
          <w:i w:val="0"/>
          <w:color w:val="1C1C1E"/>
          <w:sz w:val="22"/>
        </w:rPr>
        <w:t xml:space="preserve"> el artículo que interesa (art. 48, conductas prohibidas). Este paso ya está hecho en </w:t>
      </w:r>
      <w:r>
        <w:rPr>
          <w:rFonts w:ascii="Consolas" w:hAnsi="Consolas"/>
          <w:b w:val="0"/>
          <w:i w:val="0"/>
          <w:color w:val="B42318"/>
          <w:sz w:val="22"/>
        </w:rPr>
        <w:t>docs/fuentes/normativas/ley_24449_arts_48_49.md</w:t>
      </w:r>
      <w:r>
        <w:rPr>
          <w:rFonts w:ascii="Calibri" w:hAnsi="Calibri"/>
          <w:b w:val="0"/>
          <w:i w:val="0"/>
          <w:color w:val="1C1C1E"/>
          <w:sz w:val="22"/>
        </w:rPr>
        <w:t>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Paso 2 — Guardarla.</w:t>
      </w:r>
      <w:r>
        <w:rPr>
          <w:rFonts w:ascii="Calibri" w:hAnsi="Calibri"/>
          <w:b w:val="0"/>
          <w:i w:val="0"/>
          <w:color w:val="1C1C1E"/>
          <w:sz w:val="22"/>
        </w:rPr>
        <w:t xml:space="preserve"> Se crean estas filas: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5220"/>
        <w:gridCol w:w="5220"/>
      </w:tblGrid>
      <w:tr>
        <w:tc>
          <w:tcPr>
            <w:tcW w:type="dxa" w:w="522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Tabla</w:t>
            </w:r>
          </w:p>
        </w:tc>
        <w:tc>
          <w:tcPr>
            <w:tcW w:type="dxa" w:w="522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se guarda</w:t>
            </w:r>
          </w:p>
        </w:tc>
      </w:tr>
      <w:tr>
        <w:tc>
          <w:tcPr>
            <w:tcW w:type="dxa" w:w="522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knowledge_sources</w:t>
            </w:r>
          </w:p>
        </w:tc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Una fila: "Ley 24.449", tipo ley, emitida por el Congreso de la Nación, anclada en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Argentina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(nivel país),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requires_adhesion = true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, URL de Infoleg y fecha de verificación</w:t>
            </w:r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source_adhesions</w:t>
            </w:r>
          </w:p>
        </w:tc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Una fila: la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Ley 13.927 de la Provincia de Buenos Aires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adhiere a la 24.449 "en cuanto no se opongan a las disposiciones de la presente" (texto verificado en normas.gba.gob.ar)</w:t>
            </w:r>
          </w:p>
        </w:tc>
      </w:tr>
      <w:tr>
        <w:tc>
          <w:tcPr>
            <w:tcW w:type="dxa" w:w="522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knowledge_fragments</w:t>
            </w:r>
          </w:p>
        </w:tc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Una fila por artículo o inciso relevante, con su texto literal y la ruta citable ("Ley 24.449 &gt; Artículo 48 &gt; inciso i)")</w:t>
            </w:r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fragment_services</w:t>
            </w:r>
          </w:p>
        </w:tc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Ese inciso queda asociado a la categoría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tránsito</w:t>
            </w:r>
          </w:p>
        </w:tc>
      </w:tr>
      <w:tr>
        <w:tc>
          <w:tcPr>
            <w:tcW w:type="dxa" w:w="522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fragment_embeddings</w:t>
            </w:r>
          </w:p>
        </w:tc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El vector de 768 números de ese inciso, calculado por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Paso 3 — Buscarla.</w:t>
      </w:r>
      <w:r>
        <w:rPr>
          <w:rFonts w:ascii="Calibri" w:hAnsi="Calibri"/>
          <w:b w:val="0"/>
          <w:i w:val="0"/>
          <w:color w:val="1C1C1E"/>
          <w:sz w:val="22"/>
        </w:rPr>
        <w:t xml:space="preserve"> Un vecino de Piñeyro (Avellaneda) reporta: "hay un auto en doble fila frente a la escuela todas las mañanas".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1. </w:t>
      </w:r>
      <w:r>
        <w:rPr>
          <w:rFonts w:ascii="Calibri" w:hAnsi="Calibri"/>
          <w:b w:val="0"/>
          <w:i w:val="0"/>
          <w:color w:val="1C1C1E"/>
          <w:sz w:val="22"/>
        </w:rPr>
        <w:t>La base resuelve la cadena geográfica: Piñeyro → partido de Avellaneda → Provincia de Buenos Aires → Argentina.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2. </w:t>
      </w:r>
      <w:r>
        <w:rPr>
          <w:rFonts w:ascii="Calibri" w:hAnsi="Calibri"/>
          <w:b w:val="0"/>
          <w:i w:val="0"/>
          <w:color w:val="1C1C1E"/>
          <w:sz w:val="22"/>
        </w:rPr>
        <w:t xml:space="preserve">Arma el conjunto de normas que aplican en ese lugar: las ordenanzas de Avellaneda, las normas de PBA (Constitución, LOM) y las nacionales. </w:t>
      </w:r>
      <w:r>
        <w:rPr>
          <w:rFonts w:ascii="Calibri" w:hAnsi="Calibri"/>
          <w:b/>
          <w:i w:val="0"/>
          <w:color w:val="1C1C1E"/>
          <w:sz w:val="22"/>
        </w:rPr>
        <w:t>La 24.449 entra porque PBA adhirió.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3. </w:t>
      </w:r>
      <w:r>
        <w:rPr>
          <w:rFonts w:ascii="Calibri" w:hAnsi="Calibri"/>
          <w:b w:val="0"/>
          <w:i w:val="0"/>
          <w:color w:val="1C1C1E"/>
          <w:sz w:val="22"/>
        </w:rPr>
        <w:t>Dentro de ese conjunto, busca por significado y encuentra el art. 48 inc. i) entre los más parecidos.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4. </w:t>
      </w:r>
      <w:r>
        <w:rPr>
          <w:rFonts w:ascii="Calibri" w:hAnsi="Calibri"/>
          <w:b w:val="0"/>
          <w:i w:val="0"/>
          <w:color w:val="1C1C1E"/>
          <w:sz w:val="22"/>
        </w:rPr>
        <w:t>El LLM recibe el reporte y esos artículos, y redacta el fundamento citando el inciso.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¿Y en CABA?</w:t>
      </w:r>
      <w:r>
        <w:rPr>
          <w:rFonts w:ascii="Calibri" w:hAnsi="Calibri"/>
          <w:b w:val="0"/>
          <w:i w:val="0"/>
          <w:color w:val="1C1C1E"/>
          <w:sz w:val="22"/>
        </w:rPr>
        <w:t xml:space="preserve"> Un vecino de Retiro reporta lo mismo. La cadena es: Retiro → Comuna 1 → </w:t>
      </w:r>
      <w:r>
        <w:rPr>
          <w:rFonts w:ascii="Calibri" w:hAnsi="Calibri"/>
          <w:b/>
          <w:i w:val="0"/>
          <w:color w:val="1C1C1E"/>
          <w:sz w:val="22"/>
        </w:rPr>
        <w:t>Ciudad Autónoma de Buenos Aires</w:t>
      </w:r>
      <w:r>
        <w:rPr>
          <w:rFonts w:ascii="Calibri" w:hAnsi="Calibri"/>
          <w:b w:val="0"/>
          <w:i w:val="0"/>
          <w:color w:val="1C1C1E"/>
          <w:sz w:val="22"/>
        </w:rPr>
        <w:t xml:space="preserve"> → Argentina. Aplican las leyes de CABA (la Ley 2148, su código de tránsito). La 24.449 entra </w:t>
      </w:r>
      <w:r>
        <w:rPr>
          <w:rFonts w:ascii="Calibri" w:hAnsi="Calibri"/>
          <w:b/>
          <w:i w:val="0"/>
          <w:color w:val="1C1C1E"/>
          <w:sz w:val="22"/>
        </w:rPr>
        <w:t>solo si está cargada la adhesión de CABA</w:t>
      </w:r>
      <w:r>
        <w:rPr>
          <w:rFonts w:ascii="Calibri" w:hAnsi="Calibri"/>
          <w:b w:val="0"/>
          <w:i w:val="0"/>
          <w:color w:val="1C1C1E"/>
          <w:sz w:val="22"/>
        </w:rPr>
        <w:t>. No encontré una adhesión verificable (Infoleg rotula a la 24.449 como "Norma supletoria"), así que queda como pendiente de verificación en el corpus, no como un supuesto. El modelo funciona igual con la adhesión cargada o sin ella.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4. La cascada jurisdiccional, bien normalizada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Tu intuición es correcta: es una cascada, y se resuelve con datos, sin inventar nada. Son </w:t>
      </w:r>
      <w:r>
        <w:rPr>
          <w:rFonts w:ascii="Calibri" w:hAnsi="Calibri"/>
          <w:b/>
          <w:i w:val="0"/>
          <w:color w:val="1C1C1E"/>
          <w:sz w:val="22"/>
        </w:rPr>
        <w:t>cuatro reglas</w:t>
      </w:r>
      <w:r>
        <w:rPr>
          <w:rFonts w:ascii="Calibri" w:hAnsi="Calibri"/>
          <w:b w:val="0"/>
          <w:i w:val="0"/>
          <w:color w:val="1C1C1E"/>
          <w:sz w:val="22"/>
        </w:rPr>
        <w:t>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Regla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Cómo se implementa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1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Cada norma pertenece a un solo nivel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: país, provincia (CABA cuenta como provincia) o municipio/comuna</w:t>
            </w:r>
          </w:p>
        </w:tc>
        <w:tc>
          <w:tcPr>
            <w:tcW w:type="dxa" w:w="348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knowledge_sources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con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arco exclusivo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: exactamente una de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country_id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state_province_id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o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subdivision_id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(restricción CK-1). Diseño aprobado en REP-2906 v2.1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2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Lo de arriba baja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: una norma provincial aplica en todos sus municipios, y una nacional en todo el país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Se recorre el árbol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localities → subdivisions → states_provinces → countries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, que ya existe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3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Algunas normas solo bajan si hubo adhesión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(el caso real de la Ley 24.449)</w:t>
            </w:r>
          </w:p>
        </w:tc>
        <w:tc>
          <w:tcPr>
            <w:tcW w:type="dxa" w:w="348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requires_adhesion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en la norma, más la tabla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source_adhesions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. Un municipio hereda la adhesión de su provincia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4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La más local manda; la superior queda como marco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Todas se recuperan juntas y se le pasan al LLM ordenadas por nivel, con la instrucción explícita.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Nunca se excluye un nivel entero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: ese fue uno de los errores del spike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i w:val="0"/>
          <w:color w:val="0A2540"/>
          <w:sz w:val="24"/>
        </w:rPr>
        <w:t>4.1 ¿Hace falta una bandera "este municipio tiene normativa propia"?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No, y conviene no ponerla.</w:t>
      </w:r>
      <w:r>
        <w:rPr>
          <w:rFonts w:ascii="Calibri" w:hAnsi="Calibri"/>
          <w:b w:val="0"/>
          <w:i w:val="0"/>
          <w:color w:val="1C1C1E"/>
          <w:sz w:val="22"/>
        </w:rPr>
        <w:t xml:space="preserve"> Si un municipio tiene normativa propia, existen filas ancladas a ese municipio; si no tiene, no existen. Una bandera sería un dato que repite lo que ya dicen las filas, y el día que alguien carga una ordenanza y se olvida de tocar la bandera, la base se contradice a sí misma. Es exactamente lo que la normalización (BCNF) busca evitar.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La "bandera" que sí existe, y es real en el derecho argentino, está en la </w:t>
      </w:r>
      <w:r>
        <w:rPr>
          <w:rFonts w:ascii="Calibri" w:hAnsi="Calibri"/>
          <w:b/>
          <w:i w:val="0"/>
          <w:color w:val="1C1C1E"/>
          <w:sz w:val="22"/>
        </w:rPr>
        <w:t>norma</w:t>
      </w:r>
      <w:r>
        <w:rPr>
          <w:rFonts w:ascii="Calibri" w:hAnsi="Calibri"/>
          <w:b w:val="0"/>
          <w:i w:val="0"/>
          <w:color w:val="1C1C1E"/>
          <w:sz w:val="22"/>
        </w:rPr>
        <w:t xml:space="preserve">, no en la jurisdicción: </w:t>
      </w:r>
      <w:r>
        <w:rPr>
          <w:rFonts w:ascii="Consolas" w:hAnsi="Consolas"/>
          <w:b w:val="0"/>
          <w:i w:val="0"/>
          <w:color w:val="B42318"/>
          <w:sz w:val="22"/>
        </w:rPr>
        <w:t>requires_adhesion</w:t>
      </w:r>
      <w:r>
        <w:rPr>
          <w:rFonts w:ascii="Calibri" w:hAnsi="Calibri"/>
          <w:b w:val="0"/>
          <w:i w:val="0"/>
          <w:color w:val="1C1C1E"/>
          <w:sz w:val="22"/>
        </w:rPr>
        <w:t xml:space="preserve"> indica que esa ley necesita que cada provincia adhiera. La adhesión en sí es un hecho verificable, con su propia ley, y por eso vive en su propia tabla.</w:t>
      </w:r>
    </w:p>
    <w:p>
      <w:pPr>
        <w:spacing w:before="200" w:after="100"/>
      </w:pPr>
      <w:r>
        <w:rPr>
          <w:rFonts w:ascii="Calibri" w:hAnsi="Calibri"/>
          <w:b/>
          <w:i w:val="0"/>
          <w:color w:val="0A2540"/>
          <w:sz w:val="24"/>
        </w:rPr>
        <w:t>4.2 Por qué escala a toda la Argentina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 xml:space="preserve">Sumar una provincia o un municipio es cargar filas en el árbol geográfico y en el corpus. </w:t>
      </w:r>
      <w:r>
        <w:rPr>
          <w:rFonts w:ascii="Calibri" w:hAnsi="Calibri"/>
          <w:b/>
          <w:i w:val="0"/>
          <w:color w:val="1C1C1E"/>
          <w:sz w:val="22"/>
        </w:rPr>
        <w:t>Nunca es una migración.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 xml:space="preserve">CABA no es una excepción del código: en el seed ya es una fila de </w:t>
      </w:r>
      <w:r>
        <w:rPr>
          <w:rFonts w:ascii="Consolas" w:hAnsi="Consolas"/>
          <w:b w:val="0"/>
          <w:i w:val="0"/>
          <w:color w:val="B42318"/>
          <w:sz w:val="22"/>
        </w:rPr>
        <w:t>states_provinces</w:t>
      </w:r>
      <w:r>
        <w:rPr>
          <w:rFonts w:ascii="Calibri" w:hAnsi="Calibri"/>
          <w:b w:val="0"/>
          <w:i w:val="0"/>
          <w:color w:val="1C1C1E"/>
          <w:sz w:val="22"/>
        </w:rPr>
        <w:t xml:space="preserve"> con sus 15 comunas. Su corpus se ancla ahí.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>Los homónimos (Avellaneda de Buenos Aires contra Avellaneda de Santa Fe) se resuelven por clave, no por nombre. El seed de REP-3605 ya carga los dos para probarlo.</w:t>
      </w:r>
    </w:p>
    <w:p>
      <w:pPr>
        <w:spacing w:before="200" w:after="100"/>
      </w:pPr>
      <w:r>
        <w:rPr>
          <w:rFonts w:ascii="Calibri" w:hAnsi="Calibri"/>
          <w:b/>
          <w:i w:val="0"/>
          <w:color w:val="0A2540"/>
          <w:sz w:val="24"/>
        </w:rPr>
        <w:t>4.3 La consulta, tal como corre en la base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Es SQL estándar de PostgreSQL con el operador de pgvector </w:t>
      </w:r>
      <w:r>
        <w:rPr>
          <w:rFonts w:ascii="Consolas" w:hAnsi="Consolas"/>
          <w:b w:val="0"/>
          <w:i w:val="0"/>
          <w:color w:val="B42318"/>
          <w:sz w:val="22"/>
        </w:rPr>
        <w:t>&lt;=&gt;</w:t>
      </w:r>
      <w:r>
        <w:rPr>
          <w:rFonts w:ascii="Calibri" w:hAnsi="Calibri"/>
          <w:b w:val="0"/>
          <w:i w:val="0"/>
          <w:color w:val="1C1C1E"/>
          <w:sz w:val="22"/>
        </w:rPr>
        <w:t xml:space="preserve"> (distancia coseno). Filtra primero las fuentes elegibles y después ordena por significado, que es el enfoque de filtrado que recomienda la documentación de pgvector: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0440"/>
      </w:tblGrid>
      <w:tr>
        <w:tc>
          <w:tcPr>
            <w:tcW w:type="dxa" w:w="104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C1E"/>
                <w:sz w:val="17"/>
              </w:rPr>
              <w:t>with geo as (          -- cadena geográfica del reporte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select l.subdivision_id, s.state_province_id, sp.country_id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from localities l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join subdivisions s     on s.id  = l.subdivision_id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join states_provinces sp on sp.id = s.state_province_id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where l.id = :locality_id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),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eligible as (          -- reglas 1, 2 y 3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select ks.id,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case when ks.subdivision_id    is not null then 1   -- municipal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    when ks.state_province_id is not null then 2   -- provincial / CABA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    else 3 end as nivel                            -- nacional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from knowledge_sources ks, geo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where ks.is_current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and (ks.subdivision_id    = geo.subdivision_id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or ks.state_province_id = geo.state_province_id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or ks.country_id        = geo.country_id)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and (not ks.requires_adhesion or exists (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select 1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from source_adhesions a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join knowledge_sources ad on ad.id = a.adhering_source_id and ad.is_current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where a.source_id = ks.id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  and (ad.subdivision_id    = geo.subdivision_id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       or ad.state_province_id = geo.state_province_id)))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select f.id, f.hierarchy_path, e.nivel,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   1 - (fe.embedding &lt;=&gt; :query_embedding) as similarity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from eligible e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join knowledge_fragments f  on f.source_id = e.id and f.is_current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join fragment_embeddings fe on fe.fragment_id = f.id and fe.model_code = :model_code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order by fe.embedding &lt;=&gt; :query_embedding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limit :k;</w:t>
            </w:r>
          </w:p>
        </w:tc>
      </w:tr>
    </w:tbl>
    <w:p>
      <w:pPr>
        <w:spacing w:after="120"/>
      </w:pP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>Con el volumen de Reportalo (de cientos a pocos miles de fragmentos), esta búsqueda es exacta y rápida incluso sin índice vectorial. El índice HNSW parcial por modelo (IX-1 del DER) se agrega cuando el corpus crezca.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5. El flujo completo: desde que el ciudadano envía el reporte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El análisis es </w:t>
      </w:r>
      <w:r>
        <w:rPr>
          <w:rFonts w:ascii="Calibri" w:hAnsi="Calibri"/>
          <w:b/>
          <w:i w:val="0"/>
          <w:color w:val="1C1C1E"/>
          <w:sz w:val="22"/>
        </w:rPr>
        <w:t>asíncrono</w:t>
      </w:r>
      <w:r>
        <w:rPr>
          <w:rFonts w:ascii="Calibri" w:hAnsi="Calibri"/>
          <w:b w:val="0"/>
          <w:i w:val="0"/>
          <w:color w:val="1C1C1E"/>
          <w:sz w:val="22"/>
        </w:rPr>
        <w:t xml:space="preserve">, como ya fijaban el Anexo C y la revisión de </w:t>
      </w:r>
      <w:r>
        <w:rPr>
          <w:rFonts w:ascii="Consolas" w:hAnsi="Consolas"/>
          <w:b w:val="0"/>
          <w:i w:val="0"/>
          <w:color w:val="B42318"/>
          <w:sz w:val="22"/>
        </w:rPr>
        <w:t>create_report</w:t>
      </w:r>
      <w:r>
        <w:rPr>
          <w:rFonts w:ascii="Calibri" w:hAnsi="Calibri"/>
          <w:b w:val="0"/>
          <w:i w:val="0"/>
          <w:color w:val="1C1C1E"/>
          <w:sz w:val="22"/>
        </w:rPr>
        <w:t>: el ciudadano no espera al RAG para recibir la confirmación de su reporte.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pasa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Dónde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Pieza documentada que se usa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1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El ciudadano envía descripción, categoría, ubicación y foto. Se guarda el reporte (con la foto ya anonimizada) y la app recibe su ID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PWA → Supabase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Tablas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citizen_reports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citizen_report_media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2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Un </w:t>
            </w:r>
            <w:r>
              <w:rPr>
                <w:rFonts w:ascii="Calibri" w:hAnsi="Calibri"/>
                <w:b w:val="0"/>
                <w:i/>
                <w:color w:val="1C1C1E"/>
                <w:sz w:val="20"/>
              </w:rPr>
              <w:t>trigger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de la base detecta el reporte nuevo y deja un mensaje "analizar el reporte X" en una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cola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Postgres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Trigger +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pgmq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3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Cada pocos segundos, un proceso programado lee la cola y llama a la función de análisis.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Si falla, el mensaje reaparece y se reintenta solo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Postgres</w:t>
            </w:r>
          </w:p>
        </w:tc>
        <w:tc>
          <w:tcPr>
            <w:tcW w:type="dxa" w:w="261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pg_cron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pg_net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(el mismo patrón de las "Automatic embeddings" de Supabase)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4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La función lee el reporte con permisos de servidor y arma el texto de consulta (descripción + categoría elegida)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Edge Function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analizar-reporte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Supabase Edge Functions (Deno)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5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Vectoriza ese texto: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una llamada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, unos 100 tokens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Gemini API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Embeddings a 768 dimensiones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6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Pide a la base los fragmentos más parecidos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dentro de la cascada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(sección 4.3)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Postgres + pgvector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Función RPC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7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Si ninguno supera el umbral de similitud: resultado `sin_normativa` y NO se llama al LLM.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Cero tokens de redacción, cero riesgo de invención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Edge Function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8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Llama al LLM con las reglas, los fragmentos numerados (cada uno con su ID y su ruta citable), el texto del reporte y un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esquema JSON obligatorio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Gemini API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Salida estructurada con esquema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9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Valida la respuesta en código, sin confiar en el LLM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: el JSON cumple el esquema; cada fragmento citado está entre los recuperados; cada cita textual aparece literalmente en ese fragmento; el organismo existe en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agencies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. Si algo falla, reintenta una vez; si vuelve a fallar,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indeterminado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Edge Function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10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Guarda todo en una transacción: el análisis, la evidencia (todo lo recuperado, marcando lo citado), el modelo usado y los tokens consumidos. Borra el mensaje de la cola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Postgres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report_ai_analysis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report_ai_evidence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11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El ciudadano ve su fundamento llano y las citas; el organismo, el fundamento técnico. Cada uno ve solo lo suyo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PWA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RLS, el mismo criterio que para los reportes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Tiempos.</w:t>
      </w:r>
      <w:r>
        <w:rPr>
          <w:rFonts w:ascii="Calibri" w:hAnsi="Calibri"/>
          <w:b w:val="0"/>
          <w:i w:val="0"/>
          <w:color w:val="1C1C1E"/>
          <w:sz w:val="22"/>
        </w:rPr>
        <w:t xml:space="preserve"> El embedding y la redacción tardan segundos. Una Edge Function puede correr hasta </w:t>
      </w:r>
      <w:r>
        <w:rPr>
          <w:rFonts w:ascii="Calibri" w:hAnsi="Calibri"/>
          <w:b/>
          <w:i w:val="0"/>
          <w:color w:val="1C1C1E"/>
          <w:sz w:val="22"/>
        </w:rPr>
        <w:t>150 s en el plan gratuito y 400 s en los pagos</w:t>
      </w:r>
      <w:r>
        <w:rPr>
          <w:rFonts w:ascii="Calibri" w:hAnsi="Calibri"/>
          <w:b w:val="0"/>
          <w:i w:val="0"/>
          <w:color w:val="1C1C1E"/>
          <w:sz w:val="22"/>
        </w:rPr>
        <w:t>, y el tiempo esperando la respuesta de la API no cuenta como tiempo de CPU. La documentación de Supabase da dos cifras distintas para el límite de CPU (2 s en la página de límites, 200 ms en la de troubleshooting); en ambos casos, esperar a Gemini no consume CPU.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Por qué una cola y no un webhook directo.</w:t>
      </w:r>
      <w:r>
        <w:rPr>
          <w:rFonts w:ascii="Calibri" w:hAnsi="Calibri"/>
          <w:b w:val="0"/>
          <w:i w:val="0"/>
          <w:color w:val="1C1C1E"/>
          <w:sz w:val="22"/>
        </w:rPr>
        <w:t xml:space="preserve"> Los </w:t>
      </w:r>
      <w:r>
        <w:rPr>
          <w:rFonts w:ascii="Calibri" w:hAnsi="Calibri"/>
          <w:b w:val="0"/>
          <w:i/>
          <w:color w:val="1C1C1E"/>
          <w:sz w:val="22"/>
        </w:rPr>
        <w:t>Database Webhooks</w:t>
      </w:r>
      <w:r>
        <w:rPr>
          <w:rFonts w:ascii="Calibri" w:hAnsi="Calibri"/>
          <w:b w:val="0"/>
          <w:i w:val="0"/>
          <w:color w:val="1C1C1E"/>
          <w:sz w:val="22"/>
        </w:rPr>
        <w:t xml:space="preserve"> de Supabase disparan un pedido HTTP asíncrono después del INSERT, pero su documentación no describe reintentos. La cola con </w:t>
      </w:r>
      <w:r>
        <w:rPr>
          <w:rFonts w:ascii="Consolas" w:hAnsi="Consolas"/>
          <w:b w:val="0"/>
          <w:i w:val="0"/>
          <w:color w:val="B42318"/>
          <w:sz w:val="22"/>
        </w:rPr>
        <w:t>pgmq</w:t>
      </w:r>
      <w:r>
        <w:rPr>
          <w:rFonts w:ascii="Calibri" w:hAnsi="Calibri"/>
          <w:b w:val="0"/>
          <w:i w:val="0"/>
          <w:color w:val="1C1C1E"/>
          <w:sz w:val="22"/>
        </w:rPr>
        <w:t xml:space="preserve"> sí los tiene, gracias al tiempo de visibilidad. Es el patrón que Supabase publica para generar embeddings de forma confiable, aplicado al análisis.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6. Qué devuelve el RAG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>Un JSON con esta forma. Es la misma que se persiste (C-2 del documento de arquitectura). Los valores son ilustrativos: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0440"/>
      </w:tblGrid>
      <w:tr>
        <w:tc>
          <w:tcPr>
            <w:tcW w:type="dxa" w:w="10440"/>
            <w:tcMar>
              <w:top w:w="120" w:type="dxa"/>
              <w:bottom w:w="120" w:type="dxa"/>
              <w:left w:w="140" w:type="dxa"/>
              <w:right w:w="140" w:type="dxa"/>
            </w:tcMar>
            <w:shd w:val="clear" w:color="auto" w:fill="F4F5F7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1C1C1E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"estado": "fundamentado",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"es_infraccion": true,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"categoria": "transito",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"organismo_sugerido_id": "&lt;uuid de agencies&gt;",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"fundamento_ciudadano": "Estacionar en doble fila está prohibido por la ley de tránsito que rige en Avellaneda. Tu reporte se deriva al área de tránsito del municipio.",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"fundamento_oficial": "Conducta encuadrada en Ley 24.449, art. 48 inc. i), aplicable en la Provincia de Buenos Aires por adhesión (Ley 13.927)...",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"confianza": 0.83,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"citas": [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  { "fragment_id": "&lt;uuid&gt;", "cita_textual": "&lt;fragmento literal del inciso&gt;" }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 xml:space="preserve">  ]</w:t>
            </w:r>
            <w:r>
              <w:br/>
            </w:r>
            <w:r>
              <w:rPr>
                <w:rFonts w:ascii="Consolas" w:hAnsi="Consolas"/>
                <w:color w:val="1C1C1E"/>
                <w:sz w:val="17"/>
              </w:rPr>
              <w:t>}</w:t>
            </w:r>
          </w:p>
        </w:tc>
      </w:tr>
    </w:tbl>
    <w:p>
      <w:pPr>
        <w:spacing w:after="120"/>
      </w:pP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Los estados posibles son </w:t>
      </w:r>
      <w:r>
        <w:rPr>
          <w:rFonts w:ascii="Consolas" w:hAnsi="Consolas"/>
          <w:b w:val="0"/>
          <w:i w:val="0"/>
          <w:color w:val="B42318"/>
          <w:sz w:val="22"/>
        </w:rPr>
        <w:t>fundamentado</w:t>
      </w:r>
      <w:r>
        <w:rPr>
          <w:rFonts w:ascii="Calibri" w:hAnsi="Calibri"/>
          <w:b w:val="0"/>
          <w:i w:val="0"/>
          <w:color w:val="1C1C1E"/>
          <w:sz w:val="22"/>
        </w:rPr>
        <w:t xml:space="preserve">, </w:t>
      </w:r>
      <w:r>
        <w:rPr>
          <w:rFonts w:ascii="Consolas" w:hAnsi="Consolas"/>
          <w:b w:val="0"/>
          <w:i w:val="0"/>
          <w:color w:val="B42318"/>
          <w:sz w:val="22"/>
        </w:rPr>
        <w:t>indeterminado</w:t>
      </w:r>
      <w:r>
        <w:rPr>
          <w:rFonts w:ascii="Calibri" w:hAnsi="Calibri"/>
          <w:b w:val="0"/>
          <w:i w:val="0"/>
          <w:color w:val="1C1C1E"/>
          <w:sz w:val="22"/>
        </w:rPr>
        <w:t xml:space="preserve">, </w:t>
      </w:r>
      <w:r>
        <w:rPr>
          <w:rFonts w:ascii="Consolas" w:hAnsi="Consolas"/>
          <w:b w:val="0"/>
          <w:i w:val="0"/>
          <w:color w:val="B42318"/>
          <w:sz w:val="22"/>
        </w:rPr>
        <w:t>sin_normativa</w:t>
      </w:r>
      <w:r>
        <w:rPr>
          <w:rFonts w:ascii="Calibri" w:hAnsi="Calibri"/>
          <w:b w:val="0"/>
          <w:i w:val="0"/>
          <w:color w:val="1C1C1E"/>
          <w:sz w:val="22"/>
        </w:rPr>
        <w:t xml:space="preserve">, </w:t>
      </w:r>
      <w:r>
        <w:rPr>
          <w:rFonts w:ascii="Consolas" w:hAnsi="Consolas"/>
          <w:b w:val="0"/>
          <w:i w:val="0"/>
          <w:color w:val="B42318"/>
          <w:sz w:val="22"/>
        </w:rPr>
        <w:t>fuera_de_alcance</w:t>
      </w:r>
      <w:r>
        <w:rPr>
          <w:rFonts w:ascii="Calibri" w:hAnsi="Calibri"/>
          <w:b w:val="0"/>
          <w:i w:val="0"/>
          <w:color w:val="1C1C1E"/>
          <w:sz w:val="22"/>
        </w:rPr>
        <w:t xml:space="preserve"> (por ejemplo, un delito, que va al 911) y </w:t>
      </w:r>
      <w:r>
        <w:rPr>
          <w:rFonts w:ascii="Consolas" w:hAnsi="Consolas"/>
          <w:b w:val="0"/>
          <w:i w:val="0"/>
          <w:color w:val="B42318"/>
          <w:sz w:val="22"/>
        </w:rPr>
        <w:t>asistencia</w:t>
      </w:r>
      <w:r>
        <w:rPr>
          <w:rFonts w:ascii="Calibri" w:hAnsi="Calibri"/>
          <w:b w:val="0"/>
          <w:i w:val="0"/>
          <w:color w:val="1C1C1E"/>
          <w:sz w:val="22"/>
        </w:rPr>
        <w:t xml:space="preserve"> (vulnerabilidad social, que no es una infracción). Lo que </w:t>
      </w:r>
      <w:r>
        <w:rPr>
          <w:rFonts w:ascii="Calibri" w:hAnsi="Calibri"/>
          <w:b/>
          <w:i w:val="0"/>
          <w:color w:val="1C1C1E"/>
          <w:sz w:val="22"/>
        </w:rPr>
        <w:t>no</w:t>
      </w:r>
      <w:r>
        <w:rPr>
          <w:rFonts w:ascii="Calibri" w:hAnsi="Calibri"/>
          <w:b w:val="0"/>
          <w:i w:val="0"/>
          <w:color w:val="1C1C1E"/>
          <w:sz w:val="22"/>
        </w:rPr>
        <w:t xml:space="preserve"> devuelve: montos ni sanciones. Reportalo no sanciona.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7. Consumo de tokens y costo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Un </w:t>
      </w:r>
      <w:r>
        <w:rPr>
          <w:rFonts w:ascii="Calibri" w:hAnsi="Calibri"/>
          <w:b w:val="0"/>
          <w:i/>
          <w:color w:val="1C1C1E"/>
          <w:sz w:val="22"/>
        </w:rPr>
        <w:t>token</w:t>
      </w:r>
      <w:r>
        <w:rPr>
          <w:rFonts w:ascii="Calibri" w:hAnsi="Calibri"/>
          <w:b w:val="0"/>
          <w:i w:val="0"/>
          <w:color w:val="1C1C1E"/>
          <w:sz w:val="22"/>
        </w:rPr>
        <w:t xml:space="preserve"> es un pedazo de palabra: el proveedor cobra por cada millón de tokens que entran y que salen. </w:t>
      </w:r>
      <w:r>
        <w:rPr>
          <w:rFonts w:ascii="Calibri" w:hAnsi="Calibri"/>
          <w:b/>
          <w:i w:val="0"/>
          <w:color w:val="1C1C1E"/>
          <w:sz w:val="22"/>
        </w:rPr>
        <w:t>Cada respuesta de la API informa exactamente cuántos se usaron</w:t>
      </w:r>
      <w:r>
        <w:rPr>
          <w:rFonts w:ascii="Calibri" w:hAnsi="Calibri"/>
          <w:b w:val="0"/>
          <w:i w:val="0"/>
          <w:color w:val="1C1C1E"/>
          <w:sz w:val="22"/>
        </w:rPr>
        <w:t>, y el DER v3.2 los guarda por reporte (</w:t>
      </w:r>
      <w:r>
        <w:rPr>
          <w:rFonts w:ascii="Consolas" w:hAnsi="Consolas"/>
          <w:b w:val="0"/>
          <w:i w:val="0"/>
          <w:color w:val="B42318"/>
          <w:sz w:val="22"/>
        </w:rPr>
        <w:t>input_tokens</w:t>
      </w:r>
      <w:r>
        <w:rPr>
          <w:rFonts w:ascii="Calibri" w:hAnsi="Calibri"/>
          <w:b w:val="0"/>
          <w:i w:val="0"/>
          <w:color w:val="1C1C1E"/>
          <w:sz w:val="22"/>
        </w:rPr>
        <w:t xml:space="preserve">, </w:t>
      </w:r>
      <w:r>
        <w:rPr>
          <w:rFonts w:ascii="Consolas" w:hAnsi="Consolas"/>
          <w:b w:val="0"/>
          <w:i w:val="0"/>
          <w:color w:val="B42318"/>
          <w:sz w:val="22"/>
        </w:rPr>
        <w:t>output_tokens</w:t>
      </w:r>
      <w:r>
        <w:rPr>
          <w:rFonts w:ascii="Calibri" w:hAnsi="Calibri"/>
          <w:b w:val="0"/>
          <w:i w:val="0"/>
          <w:color w:val="1C1C1E"/>
          <w:sz w:val="22"/>
        </w:rPr>
        <w:t xml:space="preserve">). O sea: el costo real se va a </w:t>
      </w:r>
      <w:r>
        <w:rPr>
          <w:rFonts w:ascii="Calibri" w:hAnsi="Calibri"/>
          <w:b/>
          <w:i w:val="0"/>
          <w:color w:val="1C1C1E"/>
          <w:sz w:val="22"/>
        </w:rPr>
        <w:t>medir</w:t>
      </w:r>
      <w:r>
        <w:rPr>
          <w:rFonts w:ascii="Calibri" w:hAnsi="Calibri"/>
          <w:b w:val="0"/>
          <w:i w:val="0"/>
          <w:color w:val="1C1C1E"/>
          <w:sz w:val="22"/>
        </w:rPr>
        <w:t>, no a suponer.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>Estimación por reporte con los precios publicados el 12/09/2026 (plan pago):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Paso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Tokens estimados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Precio publicado</w:t>
            </w:r>
          </w:p>
        </w:tc>
        <w:tc>
          <w:tcPr>
            <w:tcW w:type="dxa" w:w="261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Costo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Vectorizar el reporte (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)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~100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USD 0,20 / millón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≈ USD 0,00002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Entrada al LLM: reglas y esquema (~900), reporte (~100) y 6 fragmentos (~1.500)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~2.500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gemini-3.8-flash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: USD 0,75 / millón hasta el 31/12/2026, USD 1,50 desde 2027</w:t>
            </w:r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≈ USD 0,0019 (2026) · 0,0038 (2027)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Salida del LLM: JSON (~400) más pensamiento interno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~800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USD 3,75 / millón hasta el 31/12/2026, USD 7,50 desde 2027.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Los tokens de pensamiento se cobran como salida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≈ USD 0,0030 (2026) · 0,0060 (2027)</w:t>
            </w:r>
          </w:p>
        </w:tc>
      </w:tr>
      <w:tr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Total por reporte</w:t>
            </w:r>
          </w:p>
        </w:tc>
        <w:tc>
          <w:tcPr>
            <w:tcW w:type="dxa" w:w="2610"/>
            <w:shd w:val="clear" w:color="auto" w:fill="F4F5F7"/>
          </w:tcPr>
          <w:p>
            <w:r/>
          </w:p>
        </w:tc>
        <w:tc>
          <w:tcPr>
            <w:tcW w:type="dxa" w:w="2610"/>
            <w:shd w:val="clear" w:color="auto" w:fill="F4F5F7"/>
          </w:tcPr>
          <w:p>
            <w:r/>
          </w:p>
        </w:tc>
        <w:tc>
          <w:tcPr>
            <w:tcW w:type="dxa" w:w="261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≈ USD 0,005 (2026) · ≈ USD 0,01 (2027)</w:t>
            </w:r>
          </w:p>
        </w:tc>
      </w:tr>
      <w:tr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Reporte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sin_normativa</w:t>
            </w:r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Solo el embedding</w:t>
            </w:r>
          </w:p>
        </w:tc>
        <w:tc>
          <w:tcPr>
            <w:tcW w:type="dxa" w:w="2610"/>
          </w:tcPr>
          <w:p>
            <w:r/>
          </w:p>
        </w:tc>
        <w:tc>
          <w:tcPr>
            <w:tcW w:type="dxa" w:w="261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≈ USD 0,00002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Esto da unos </w:t>
      </w:r>
      <w:r>
        <w:rPr>
          <w:rFonts w:ascii="Calibri" w:hAnsi="Calibri"/>
          <w:b/>
          <w:i w:val="0"/>
          <w:color w:val="1C1C1E"/>
          <w:sz w:val="22"/>
        </w:rPr>
        <w:t>USD 5 cada 1.000 reportes</w:t>
      </w:r>
      <w:r>
        <w:rPr>
          <w:rFonts w:ascii="Calibri" w:hAnsi="Calibri"/>
          <w:b w:val="0"/>
          <w:i w:val="0"/>
          <w:color w:val="1C1C1E"/>
          <w:sz w:val="22"/>
        </w:rPr>
        <w:t xml:space="preserve"> con el precio promocional y unos USD 10 desde 2027. Vectorizar un corpus de 2.000 fragmentos (unos 600.000 tokens) cuesta alrededor de USD 0,12, una sola vez, y la mitad si se usa el modo </w:t>
      </w:r>
      <w:r>
        <w:rPr>
          <w:rFonts w:ascii="Calibri" w:hAnsi="Calibri"/>
          <w:b w:val="0"/>
          <w:i/>
          <w:color w:val="1C1C1E"/>
          <w:sz w:val="22"/>
        </w:rPr>
        <w:t>batch</w:t>
      </w:r>
      <w:r>
        <w:rPr>
          <w:rFonts w:ascii="Calibri" w:hAnsi="Calibri"/>
          <w:b w:val="0"/>
          <w:i w:val="0"/>
          <w:color w:val="1C1C1E"/>
          <w:sz w:val="22"/>
        </w:rPr>
        <w:t>.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>Tres advertencias que salen de la documentación: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El nivel de pensamiento por defecto de `gemini-3.8-flash` es "medio"</w:t>
      </w:r>
      <w:r>
        <w:rPr>
          <w:rFonts w:ascii="Calibri" w:hAnsi="Calibri"/>
          <w:b w:val="0"/>
          <w:i w:val="0"/>
          <w:color w:val="1C1C1E"/>
          <w:sz w:val="22"/>
        </w:rPr>
        <w:t>, y ese pensamiento se paga. Para una tarea acotada como esta conviene fijarlo bajo y medir si la calidad se sostiene.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El plan gratuito no sirve para reportes reales.</w:t>
      </w:r>
      <w:r>
        <w:rPr>
          <w:rFonts w:ascii="Calibri" w:hAnsi="Calibri"/>
          <w:b w:val="0"/>
          <w:i w:val="0"/>
          <w:color w:val="1C1C1E"/>
          <w:sz w:val="22"/>
        </w:rPr>
        <w:t xml:space="preserve"> Google indica que esos datos se usan para mejorar sus productos. Ver la </w:t>
      </w:r>
      <w:hyperlink r:id="rId15">
        <w:r>
          <w:rPr>
            <w:rFonts w:ascii="Calibri" w:hAnsi="Calibri"/>
            <w:color w:val="1D5FA6"/>
            <w:u w:val="single"/>
            <w:sz w:val="22"/>
          </w:rPr>
          <w:t xml:space="preserve">comparativa de LLM</w:t>
        </w:r>
      </w:hyperlink>
      <w:r>
        <w:rPr>
          <w:rFonts w:ascii="Calibri" w:hAnsi="Calibri"/>
          <w:b w:val="0"/>
          <w:i w:val="0"/>
          <w:color w:val="1C1C1E"/>
          <w:sz w:val="22"/>
        </w:rPr>
        <w:t>, sección 5.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>Las cifras de tokens son estimaciones de este documento. Las de precio, no: son las publicadas.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8. Cómo se evitan las alucinaciones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Ninguna técnica sola lleva el riesgo a cero. Lo que se hace es </w:t>
      </w:r>
      <w:r>
        <w:rPr>
          <w:rFonts w:ascii="Calibri" w:hAnsi="Calibri"/>
          <w:b/>
          <w:i w:val="0"/>
          <w:color w:val="1C1C1E"/>
          <w:sz w:val="22"/>
        </w:rPr>
        <w:t>apilar capas</w:t>
      </w:r>
      <w:r>
        <w:rPr>
          <w:rFonts w:ascii="Calibri" w:hAnsi="Calibri"/>
          <w:b w:val="0"/>
          <w:i w:val="0"/>
          <w:color w:val="1C1C1E"/>
          <w:sz w:val="22"/>
        </w:rPr>
        <w:t>, de modo que una cita inventada no llegue nunca a un organismo: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Capa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hace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Base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1. Corpus literal y verificado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Solo entra texto copiado de la fuente oficial, con URL y fecha de verificación obligatorias por esquema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REP-2906 §6.6 · riesgo RT-23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2. Filtro jurisdiccional por claves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El LLM ni siquiera ve normas de otra jurisdicción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Sección 4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3. Umbral de similitud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Si nada se parece lo suficiente, no se llama al LLM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Paso 7 del flujo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4. Instrucciones que permiten decir "no sé" y exigen citas textuales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El prompt autoriza la abstención y exige que cada afirmación se apoye en una cita literal de los fragmentos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Guía oficial de Anthropic contra alucinaciones: </w:t>
            </w:r>
            <w:r>
              <w:rPr>
                <w:rFonts w:ascii="Calibri" w:hAnsi="Calibri"/>
                <w:b w:val="0"/>
                <w:i/>
                <w:color w:val="1C1C1E"/>
                <w:sz w:val="20"/>
              </w:rPr>
              <w:t>permitir "no sé"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color w:val="1C1C1E"/>
                <w:sz w:val="20"/>
              </w:rPr>
              <w:t>usar citas directas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alibri" w:hAnsi="Calibri"/>
                <w:b w:val="0"/>
                <w:i/>
                <w:color w:val="1C1C1E"/>
                <w:sz w:val="20"/>
              </w:rPr>
              <w:t>verificar con citas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. Vale para cualquier LLM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5. Salida con esquema obligatorio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El LLM tiene que devolver exactamente la forma pedida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Salida estructurada de la Gemini API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6.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Validación determinística en código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Se comprueba, sin IA, que cada cita exista textualmente en un fragmento recuperado y que cada ID sea real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Paso 9 del flujo.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Es la capa más importante: no depende de que el LLM se porte bien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7. Fallar cerrado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Ante cualquier error,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indeterminado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. Nunca un resultado de reemplazo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C-6 del documento de arquitectura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8. Evaluación con casos reservados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Se mide con casos que quien implementa no vio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REP-2910 · lección del spike</w:t>
            </w:r>
          </w:p>
        </w:tc>
      </w:tr>
    </w:tbl>
    <w:p>
      <w:pPr>
        <w:spacing w:after="80"/>
      </w:pP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9. Cómo se mantiene actualizado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Situación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se hace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pasa con lo ya analizado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Norma nueva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Descargar la versión oficial, guardar la copia en Storage, extraer el texto literal, revisión del PO, insertar fuente y fragmentos. El trigger encola el cálculo de sus vectores (patrón "Automatic embeddings" de Supabase)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Nada: solo cambia lo que se analice de ahí en adelante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Un artículo se modifica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Se inserta un fragmento nuevo con el texto nuevo (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replaces_fragment_id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apunta al viejo) y el viejo queda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is_current = false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. Solo se vectoriza el nuevo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Los análisis viejos siguen apuntando al texto que citaron: queda la trazabilidad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Una norma se deroga</w:t>
            </w:r>
          </w:p>
        </w:tc>
        <w:tc>
          <w:tcPr>
            <w:tcW w:type="dxa" w:w="3480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is_current = false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en la fuente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Idem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Revisión periódica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En cada corte de riesgos: revisar las fuentes oficiales de las normas cargadas y la página de modelos retirados de Google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—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Cambiar el modelo de embeddings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Se agrega el modelo nuevo en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ai_models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se calculan sus vectores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en filas nuevas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fragment_embeddings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, se compara con los casos reservados y, si gana, se lo activa y se borran las filas del viejo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Nada: el análisis guarda qué modelo usó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Cambiar el LLM redactor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Se agrega en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ai_models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 se cambia la configuración. No se toca ningún dato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Idem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Sobre tu pregunta de "otra columna para otra IA":</w:t>
      </w:r>
      <w:r>
        <w:rPr>
          <w:rFonts w:ascii="Calibri" w:hAnsi="Calibri"/>
          <w:b w:val="0"/>
          <w:i w:val="0"/>
          <w:color w:val="1C1C1E"/>
          <w:sz w:val="22"/>
        </w:rPr>
        <w:t xml:space="preserve"> no hacen falta columnas nuevas. En el DER v3.2 el vector vive en </w:t>
      </w:r>
      <w:r>
        <w:rPr>
          <w:rFonts w:ascii="Consolas" w:hAnsi="Consolas"/>
          <w:b w:val="0"/>
          <w:i w:val="0"/>
          <w:color w:val="B42318"/>
          <w:sz w:val="22"/>
        </w:rPr>
        <w:t>fragment_embeddings</w:t>
      </w:r>
      <w:r>
        <w:rPr>
          <w:rFonts w:ascii="Calibri" w:hAnsi="Calibri"/>
          <w:b w:val="0"/>
          <w:i w:val="0"/>
          <w:color w:val="1C1C1E"/>
          <w:sz w:val="22"/>
        </w:rPr>
        <w:t xml:space="preserve">, </w:t>
      </w:r>
      <w:r>
        <w:rPr>
          <w:rFonts w:ascii="Calibri" w:hAnsi="Calibri"/>
          <w:b/>
          <w:i w:val="0"/>
          <w:color w:val="1C1C1E"/>
          <w:sz w:val="22"/>
        </w:rPr>
        <w:t>una fila por fragmento y por modelo</w:t>
      </w:r>
      <w:r>
        <w:rPr>
          <w:rFonts w:ascii="Calibri" w:hAnsi="Calibri"/>
          <w:b w:val="0"/>
          <w:i w:val="0"/>
          <w:color w:val="1C1C1E"/>
          <w:sz w:val="22"/>
        </w:rPr>
        <w:t xml:space="preserve">. Probar un modelo es cargar filas con otro </w:t>
      </w:r>
      <w:r>
        <w:rPr>
          <w:rFonts w:ascii="Consolas" w:hAnsi="Consolas"/>
          <w:b w:val="0"/>
          <w:i w:val="0"/>
          <w:color w:val="B42318"/>
          <w:sz w:val="22"/>
        </w:rPr>
        <w:t>model_code</w:t>
      </w:r>
      <w:r>
        <w:rPr>
          <w:rFonts w:ascii="Calibri" w:hAnsi="Calibri"/>
          <w:b w:val="0"/>
          <w:i w:val="0"/>
          <w:color w:val="1C1C1E"/>
          <w:sz w:val="22"/>
        </w:rPr>
        <w:t xml:space="preserve">; migrar es activarlo y borrar las viejas. El esquema no cambia nunca. La única condición es que todos los modelos se pidan a 768 dimensiones, algo que </w:t>
      </w:r>
      <w:r>
        <w:rPr>
          <w:rFonts w:ascii="Consolas" w:hAnsi="Consolas"/>
          <w:b w:val="0"/>
          <w:i w:val="0"/>
          <w:color w:val="B42318"/>
          <w:sz w:val="22"/>
        </w:rPr>
        <w:t>gemini-embedding-2</w:t>
      </w:r>
      <w:r>
        <w:rPr>
          <w:rFonts w:ascii="Calibri" w:hAnsi="Calibri"/>
          <w:b w:val="0"/>
          <w:i w:val="0"/>
          <w:color w:val="1C1C1E"/>
          <w:sz w:val="22"/>
        </w:rPr>
        <w:t xml:space="preserve"> y OpenAI </w:t>
      </w:r>
      <w:r>
        <w:rPr>
          <w:rFonts w:ascii="Consolas" w:hAnsi="Consolas"/>
          <w:b w:val="0"/>
          <w:i w:val="0"/>
          <w:color w:val="B42318"/>
          <w:sz w:val="22"/>
        </w:rPr>
        <w:t>text-embedding-3</w:t>
      </w:r>
      <w:r>
        <w:rPr>
          <w:rFonts w:ascii="Calibri" w:hAnsi="Calibri"/>
          <w:b w:val="0"/>
          <w:i w:val="0"/>
          <w:color w:val="1C1C1E"/>
          <w:sz w:val="22"/>
        </w:rPr>
        <w:t xml:space="preserve"> permiten. Para el LLM redactor ni siquiera hacen falta filas nuevas: cada análisis guarda qué modelo lo produjo.</w:t>
      </w: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Lo que no se hace en el MVP:</w:t>
      </w:r>
      <w:r>
        <w:rPr>
          <w:rFonts w:ascii="Calibri" w:hAnsi="Calibri"/>
          <w:b w:val="0"/>
          <w:i w:val="0"/>
          <w:color w:val="1C1C1E"/>
          <w:sz w:val="22"/>
        </w:rPr>
        <w:t xml:space="preserve"> leer boletines oficiales de forma automática. Las fuentes no son uniformes (SIBOM entrega PDF con fuentes que no se pueden extraer) y cada texto necesita la revisión del PO. Se hace a mano y con calendario.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10. Cómo se implementa en nuestro stack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Componente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 es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Estado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Tablas del conocimiento y del resultado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DER v3.2 (REP-3769)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Propuesta, sujeta a aprobación de Matías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Extensiones de Postgres: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vector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pgmq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pg_cron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pg_net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Todas documentadas y disponibles en Supabase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vector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ya está en uso; las otras tres se habilitan desde el panel de Supabase del proyecto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Función RPC de búsqueda con cascada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La consulta de la sección 4.3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 construir en REP-2908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Edge Function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analizar-reporte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Pasos 4 a 10 del flujo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 construir en REP-2908 (C-1)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Carga del corpus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Script que lee los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.md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verificados, inserta fuentes y fragmentos, y encola los vectores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 construir. Reemplaza el array del spike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Bucket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corpus-fuentes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Copias oficiales para auditoría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 crear, privado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Secretos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Clave de Gemini en los secretos de las Edge Functions,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nunca en el frontend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C-1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RLS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Corpus: lectura para usuarios autenticados (es texto público), escritura solo desde el servidor. Análisis y evidencia: mismo criterio que el reporte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Obligatoria en toda tabla nueva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Búsqueda híbrida (opcional)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Suma búsqueda por palabras exactas ("doble fila", "art. 48") a la búsqueda por significado, y combina ambas con </w:t>
            </w:r>
            <w:r>
              <w:rPr>
                <w:rFonts w:ascii="Calibri" w:hAnsi="Calibri"/>
                <w:b w:val="0"/>
                <w:i/>
                <w:color w:val="1C1C1E"/>
                <w:sz w:val="20"/>
              </w:rPr>
              <w:t>Reciprocal Rank Fusion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Guía oficial de Supabase. Se evalúa en REP-2910; la columna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fts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ya está prevista en el DER</w:t>
            </w:r>
          </w:p>
        </w:tc>
      </w:tr>
    </w:tbl>
    <w:p>
      <w:pPr>
        <w:spacing w:after="80"/>
      </w:pP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Qué cambia respecto del spike:</w:t>
      </w:r>
      <w:r>
        <w:rPr>
          <w:rFonts w:ascii="Calibri" w:hAnsi="Calibri"/>
          <w:b w:val="0"/>
          <w:i w:val="0"/>
          <w:color w:val="1C1C1E"/>
          <w:sz w:val="22"/>
        </w:rPr>
        <w:t xml:space="preserve"> la tabla </w:t>
      </w:r>
      <w:r>
        <w:rPr>
          <w:rFonts w:ascii="Consolas" w:hAnsi="Consolas"/>
          <w:b w:val="0"/>
          <w:i w:val="0"/>
          <w:color w:val="B42318"/>
          <w:sz w:val="22"/>
        </w:rPr>
        <w:t>normativas</w:t>
      </w:r>
      <w:r>
        <w:rPr>
          <w:rFonts w:ascii="Calibri" w:hAnsi="Calibri"/>
          <w:b w:val="0"/>
          <w:i w:val="0"/>
          <w:color w:val="1C1C1E"/>
          <w:sz w:val="22"/>
        </w:rPr>
        <w:t xml:space="preserve"> se reemplaza. Sus 8 filas </w:t>
      </w:r>
      <w:r>
        <w:rPr>
          <w:rFonts w:ascii="Calibri" w:hAnsi="Calibri"/>
          <w:b/>
          <w:i w:val="0"/>
          <w:color w:val="1C1C1E"/>
          <w:sz w:val="22"/>
        </w:rPr>
        <w:t>no se migran</w:t>
      </w:r>
      <w:r>
        <w:rPr>
          <w:rFonts w:ascii="Calibri" w:hAnsi="Calibri"/>
          <w:b w:val="0"/>
          <w:i w:val="0"/>
          <w:color w:val="1C1C1E"/>
          <w:sz w:val="22"/>
        </w:rPr>
        <w:t>, porque su texto no es literal (informe de REP-2907 §5.2): se recargan desde los archivos verificados.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11. A futuro: el chat del municipio en el mapa</w:t>
      </w:r>
    </w:p>
    <w:p>
      <w:pPr>
        <w:spacing w:after="180"/>
      </w:pPr>
      <w:r>
        <w:rPr>
          <w:rFonts w:ascii="Calibri" w:hAnsi="Calibri"/>
          <w:b w:val="0"/>
          <w:i w:val="0"/>
          <w:color w:val="1C1C1E"/>
          <w:sz w:val="22"/>
        </w:rPr>
        <w:t xml:space="preserve">Es una oportunidad de mejora real y </w:t>
      </w:r>
      <w:r>
        <w:rPr>
          <w:rFonts w:ascii="Calibri" w:hAnsi="Calibri"/>
          <w:b/>
          <w:i w:val="0"/>
          <w:color w:val="1C1C1E"/>
          <w:sz w:val="22"/>
        </w:rPr>
        <w:t>el diseño ya la deja abierta sin cambiar el esquema</w:t>
      </w:r>
      <w:r>
        <w:rPr>
          <w:rFonts w:ascii="Calibri" w:hAnsi="Calibri"/>
          <w:b w:val="0"/>
          <w:i w:val="0"/>
          <w:color w:val="1C1C1E"/>
          <w:sz w:val="22"/>
        </w:rPr>
        <w:t>: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 xml:space="preserve">La guía de REP-2906 definió la biblioteca como </w:t>
      </w:r>
      <w:r>
        <w:rPr>
          <w:rFonts w:ascii="Calibri" w:hAnsi="Calibri"/>
          <w:b/>
          <w:i w:val="0"/>
          <w:color w:val="1C1C1E"/>
          <w:sz w:val="22"/>
        </w:rPr>
        <w:t>universal</w:t>
      </w:r>
      <w:r>
        <w:rPr>
          <w:rFonts w:ascii="Calibri" w:hAnsi="Calibri"/>
          <w:b w:val="0"/>
          <w:i w:val="0"/>
          <w:color w:val="1C1C1E"/>
          <w:sz w:val="22"/>
        </w:rPr>
        <w:t xml:space="preserve"> (</w:t>
      </w:r>
      <w:r>
        <w:rPr>
          <w:rFonts w:ascii="Consolas" w:hAnsi="Consolas"/>
          <w:b w:val="0"/>
          <w:i w:val="0"/>
          <w:color w:val="B42318"/>
          <w:sz w:val="22"/>
        </w:rPr>
        <w:t>source_types</w:t>
      </w:r>
      <w:r>
        <w:rPr>
          <w:rFonts w:ascii="Calibri" w:hAnsi="Calibri"/>
          <w:b w:val="0"/>
          <w:i w:val="0"/>
          <w:color w:val="1C1C1E"/>
          <w:sz w:val="22"/>
        </w:rPr>
        <w:t xml:space="preserve">): además de </w:t>
      </w:r>
      <w:r>
        <w:rPr>
          <w:rFonts w:ascii="Consolas" w:hAnsi="Consolas"/>
          <w:b w:val="0"/>
          <w:i w:val="0"/>
          <w:color w:val="B42318"/>
          <w:sz w:val="22"/>
        </w:rPr>
        <w:t>corpus_legal</w:t>
      </w:r>
      <w:r>
        <w:rPr>
          <w:rFonts w:ascii="Calibri" w:hAnsi="Calibri"/>
          <w:b w:val="0"/>
          <w:i w:val="0"/>
          <w:color w:val="1C1C1E"/>
          <w:sz w:val="22"/>
        </w:rPr>
        <w:t xml:space="preserve">, puede guardar </w:t>
      </w:r>
      <w:r>
        <w:rPr>
          <w:rFonts w:ascii="Consolas" w:hAnsi="Consolas"/>
          <w:b w:val="0"/>
          <w:i w:val="0"/>
          <w:color w:val="B42318"/>
          <w:sz w:val="22"/>
        </w:rPr>
        <w:t>informacion</w:t>
      </w:r>
      <w:r>
        <w:rPr>
          <w:rFonts w:ascii="Calibri" w:hAnsi="Calibri"/>
          <w:b w:val="0"/>
          <w:i w:val="0"/>
          <w:color w:val="1C1C1E"/>
          <w:sz w:val="22"/>
        </w:rPr>
        <w:t>, como trámites, horarios, qué organismo atiende qué o guías del municipio. Se cargan en las mismas tablas y se buscan con la misma cascada.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>Un chat ("¿quién arregla los baches en Palermo?") usa las mismas piezas: vectorizar la pregunta, recuperar con cascada y redactar con citas. Las mismas capas contra alucinaciones.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 w:val="0"/>
          <w:i w:val="0"/>
          <w:color w:val="1C1C1E"/>
          <w:sz w:val="22"/>
        </w:rPr>
        <w:t xml:space="preserve">"Que me apunte en el mapa" se resuelve cruzando la respuesta con datos que ya tenemos con ubicación: organismos, localidades y reportes con latitud y longitud (los marcadores de REP-3752). Google ofrece además </w:t>
      </w:r>
      <w:r>
        <w:rPr>
          <w:rFonts w:ascii="Calibri" w:hAnsi="Calibri"/>
          <w:b w:val="0"/>
          <w:i/>
          <w:color w:val="1C1C1E"/>
          <w:sz w:val="22"/>
        </w:rPr>
        <w:t>Grounding with Google Maps</w:t>
      </w:r>
      <w:r>
        <w:rPr>
          <w:rFonts w:ascii="Calibri" w:hAnsi="Calibri"/>
          <w:b w:val="0"/>
          <w:i w:val="0"/>
          <w:color w:val="1C1C1E"/>
          <w:sz w:val="22"/>
        </w:rPr>
        <w:t xml:space="preserve"> en su API (figura en su página de precios), pero no hace falta para empezar.</w:t>
      </w:r>
    </w:p>
    <w:p>
      <w:pPr>
        <w:spacing w:after="100"/>
        <w:ind w:left="360"/>
      </w:pPr>
      <w:r>
        <w:rPr>
          <w:rFonts w:ascii="Calibri" w:hAnsi="Calibri"/>
          <w:b/>
          <w:i w:val="0"/>
          <w:color w:val="0A2540"/>
          <w:sz w:val="22"/>
        </w:rPr>
        <w:t xml:space="preserve">• </w:t>
      </w:r>
      <w:r>
        <w:rPr>
          <w:rFonts w:ascii="Calibri" w:hAnsi="Calibri"/>
          <w:b/>
          <w:i w:val="0"/>
          <w:color w:val="1C1C1E"/>
          <w:sz w:val="22"/>
        </w:rPr>
        <w:t>No entra en el MVP.</w:t>
      </w:r>
      <w:r>
        <w:rPr>
          <w:rFonts w:ascii="Calibri" w:hAnsi="Calibri"/>
          <w:b w:val="0"/>
          <w:i w:val="0"/>
          <w:color w:val="1C1C1E"/>
          <w:sz w:val="22"/>
        </w:rPr>
        <w:t xml:space="preserve"> Agrega un riesgo que el reporte no tiene: las preguntas abiertas son más difíciles de acotar que un reporte con categoría y ubicación.</w:t>
      </w: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12. Pendientes y decisiones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Ref.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Qué</w:t>
            </w:r>
          </w:p>
        </w:tc>
        <w:tc>
          <w:tcPr>
            <w:tcW w:type="dxa" w:w="348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 quién corresponde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R-1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Aprobar el DER v3.2 (tablas, restricciones CK/UQ/IX y RLS) antes de migrar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Matías (Líder Técnico) + Hernán (DBA)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R-2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Verificar si CABA adhirió a la Ley 24.449, con la norma de adhesión y su fuente oficial, y cargarla o dejarla sin adhesión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Hernán (corpus)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R-3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Actualizar el ADR-004: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(768) y la versión exacta del Flash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Matías + Hernán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R-4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Fijar los parámetros iniciales: cantidad de fragmentos por consulta, umbral de similitud y nivel de pensamiento. Se ajustan con REP-2910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Matías, con evidencia de REP-2908</w:t>
            </w:r>
          </w:p>
        </w:tc>
      </w:tr>
      <w:tr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R-5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Decidir si la categoría que eligió el ciudadano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filtra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la búsqueda o solo se le pasa al LLM. Recomendación: pasarla sin filtrar, para no perder normas de otra categoría</w:t>
            </w:r>
          </w:p>
        </w:tc>
        <w:tc>
          <w:tcPr>
            <w:tcW w:type="dxa" w:w="348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Hernán (PO)</w:t>
            </w:r>
          </w:p>
        </w:tc>
      </w:tr>
      <w:tr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R-6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Corrección detectada en REP-2906: su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UNIQUE(source_id, article, subsection)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impide conservar la versión vieja de un artículo modificado. El DER v3.2 lo resuelve con un índice único </w:t>
            </w:r>
            <w:r>
              <w:rPr>
                <w:rFonts w:ascii="Calibri" w:hAnsi="Calibri"/>
                <w:b/>
                <w:i w:val="0"/>
                <w:color w:val="1C1C1E"/>
                <w:sz w:val="20"/>
              </w:rPr>
              <w:t>parcial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, solo sobre los fragmentos vigentes</w:t>
            </w:r>
          </w:p>
        </w:tc>
        <w:tc>
          <w:tcPr>
            <w:tcW w:type="dxa" w:w="348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Hernán (DBA)</w:t>
            </w:r>
          </w:p>
        </w:tc>
      </w:tr>
    </w:tbl>
    <w:p>
      <w:pPr>
        <w:spacing w:after="80"/>
      </w:pPr>
    </w:p>
    <w:p>
      <w:pPr>
        <w:spacing w:before="280" w:after="140"/>
      </w:pPr>
      <w:r>
        <w:rPr>
          <w:rFonts w:ascii="Calibri" w:hAnsi="Calibri"/>
          <w:b/>
          <w:i w:val="0"/>
          <w:color w:val="0A2540"/>
          <w:sz w:val="27"/>
        </w:rPr>
        <w:t>13. Fuentes consultadas (12/09/2026)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5220"/>
        <w:gridCol w:w="5220"/>
      </w:tblGrid>
      <w:tr>
        <w:tc>
          <w:tcPr>
            <w:tcW w:type="dxa" w:w="522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Tema</w:t>
            </w:r>
          </w:p>
        </w:tc>
        <w:tc>
          <w:tcPr>
            <w:tcW w:type="dxa" w:w="5220"/>
            <w:shd w:val="clear" w:color="auto" w:fill="3A3A3C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Fuente</w:t>
            </w:r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Embeddings automáticos con triggers,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pgmq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pg_cron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pg_net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 Edge Functions, con reintentos</w:t>
            </w:r>
          </w:p>
        </w:tc>
        <w:tc>
          <w:tcPr>
            <w:tcW w:type="dxa" w:w="5220"/>
          </w:tcPr>
          <w:p>
            <w:r/>
            <w:hyperlink r:id="rId18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Supabase — Automatic embeddings</w:t>
              </w:r>
            </w:hyperlink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· </w:t>
            </w:r>
            <w:hyperlink r:id="rId19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blog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Database Webhooks y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pg_net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20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Supabase — Database Webhooks</w:t>
              </w:r>
            </w:hyperlink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· </w:t>
            </w:r>
            <w:hyperlink r:id="rId21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pg_net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Búsqueda híbrida con RRF</w:t>
            </w:r>
          </w:p>
        </w:tc>
        <w:tc>
          <w:tcPr>
            <w:tcW w:type="dxa" w:w="5220"/>
          </w:tcPr>
          <w:p>
            <w:r/>
            <w:hyperlink r:id="rId22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Supabase — Hybrid search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RLS sobre fragmentos del RAG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23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Supabase — RAG with Permissions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Límites de las Edge Functions</w:t>
            </w:r>
          </w:p>
        </w:tc>
        <w:tc>
          <w:tcPr>
            <w:tcW w:type="dxa" w:w="5220"/>
          </w:tcPr>
          <w:p>
            <w:r/>
            <w:hyperlink r:id="rId24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Supabase — Limits</w:t>
              </w:r>
            </w:hyperlink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· </w:t>
            </w:r>
            <w:hyperlink r:id="rId25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CPU limits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Filtrado, índices parciales y límites de dimensión de pgvector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26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pgvector (README)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Precios de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gemini-3.8-flash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; uso de datos en el plan gratuito</w:t>
            </w:r>
          </w:p>
        </w:tc>
        <w:tc>
          <w:tcPr>
            <w:tcW w:type="dxa" w:w="5220"/>
          </w:tcPr>
          <w:p>
            <w:r/>
            <w:hyperlink r:id="rId27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Gemini API — Pricing</w:t>
              </w:r>
            </w:hyperlink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· </w:t>
            </w:r>
            <w:hyperlink r:id="rId28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What's new in Gemini 3.8 Flash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Salida estructurada con esquema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29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Gemini API — Structured outputs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Tipos de tarea de los embeddings (consulta / documento)</w:t>
            </w:r>
          </w:p>
        </w:tc>
        <w:tc>
          <w:tcPr>
            <w:tcW w:type="dxa" w:w="5220"/>
          </w:tcPr>
          <w:p>
            <w:r/>
            <w:hyperlink r:id="rId30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Gemini API — Embeddings reference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text-embedding-004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apagado; </w:t>
            </w:r>
            <w:r>
              <w:rPr>
                <w:rFonts w:ascii="Consolas" w:hAnsi="Consolas"/>
                <w:b w:val="0"/>
                <w:i w:val="0"/>
                <w:color w:val="B42318"/>
                <w:sz w:val="20"/>
              </w:rPr>
              <w:t>gemini-embedding-2</w:t>
            </w:r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a 768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31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Gemini deprecations</w:t>
              </w:r>
            </w:hyperlink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 xml:space="preserve"> · </w:t>
            </w:r>
            <w:hyperlink r:id="rId32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Embeddings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Técnicas contra alucinaciones</w:t>
            </w:r>
          </w:p>
        </w:tc>
        <w:tc>
          <w:tcPr>
            <w:tcW w:type="dxa" w:w="5220"/>
          </w:tcPr>
          <w:p>
            <w:r/>
            <w:hyperlink r:id="rId33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Claude Docs — Reduce hallucinations</w:t>
              </w:r>
            </w:hyperlink>
          </w:p>
        </w:tc>
      </w:tr>
      <w:tr>
        <w:tc>
          <w:tcPr>
            <w:tcW w:type="dxa" w:w="5220"/>
            <w:shd w:val="clear" w:color="auto" w:fill="F4F5F7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Adhesión de PBA a la Ley 24.449</w:t>
            </w:r>
          </w:p>
        </w:tc>
        <w:tc>
          <w:tcPr>
            <w:tcW w:type="dxa" w:w="5220"/>
            <w:shd w:val="clear" w:color="auto" w:fill="F4F5F7"/>
          </w:tcPr>
          <w:p>
            <w:r/>
            <w:hyperlink r:id="rId34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Ley 13.927 — Normas GBA</w:t>
              </w:r>
            </w:hyperlink>
          </w:p>
        </w:tc>
      </w:tr>
      <w:tr>
        <w:tc>
          <w:tcPr>
            <w:tcW w:type="dxa" w:w="5220"/>
          </w:tcPr>
          <w:p>
            <w:r/>
            <w:r>
              <w:rPr>
                <w:rFonts w:ascii="Calibri" w:hAnsi="Calibri"/>
                <w:b w:val="0"/>
                <w:i w:val="0"/>
                <w:color w:val="1C1C1E"/>
                <w:sz w:val="20"/>
              </w:rPr>
              <w:t>Texto de la Ley 24.449</w:t>
            </w:r>
          </w:p>
        </w:tc>
        <w:tc>
          <w:tcPr>
            <w:tcW w:type="dxa" w:w="5220"/>
          </w:tcPr>
          <w:p>
            <w:r/>
            <w:hyperlink r:id="rId35">
              <w:r>
                <w:rPr>
                  <w:rFonts w:ascii="Calibri" w:hAnsi="Calibri"/>
                  <w:color w:val="1D5FA6"/>
                  <w:u w:val="single"/>
                  <w:sz w:val="20"/>
                </w:rPr>
                <w:t xml:space="preserve">Infoleg — Ley 24.449</w:t>
              </w:r>
            </w:hyperlink>
          </w:p>
        </w:tc>
      </w:tr>
    </w:tbl>
    <w:p>
      <w:pPr>
        <w:spacing w:after="80"/>
      </w:pPr>
    </w:p>
    <w:p>
      <w:pPr>
        <w:spacing w:before="120" w:after="240"/>
        <w:pBdr>
          <w:bottom w:val="single" w:sz="6" w:space="1" w:color="D0D5DD"/>
        </w:pBdr>
      </w:pPr>
    </w:p>
    <w:p>
      <w:pPr>
        <w:spacing w:after="180"/>
      </w:pPr>
      <w:r>
        <w:rPr>
          <w:rFonts w:ascii="Calibri" w:hAnsi="Calibri"/>
          <w:b/>
          <w:i w:val="0"/>
          <w:color w:val="1C1C1E"/>
          <w:sz w:val="22"/>
        </w:rPr>
        <w:t>Documentos relacionados:</w:t>
      </w:r>
      <w:r>
        <w:rPr>
          <w:rFonts w:ascii="Calibri" w:hAnsi="Calibri"/>
          <w:b w:val="0"/>
          <w:i w:val="0"/>
          <w:color w:val="1C1C1E"/>
          <w:sz w:val="22"/>
        </w:rPr>
        <w:t xml:space="preserve"> </w:t>
      </w:r>
      <w:hyperlink r:id="rId13">
        <w:r>
          <w:rPr>
            <w:rFonts w:ascii="Calibri" w:hAnsi="Calibri"/>
            <w:color w:val="1D5FA6"/>
            <w:u w:val="single"/>
            <w:sz w:val="22"/>
          </w:rPr>
          <w:t xml:space="preserve">DER v3.2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2">
        <w:r>
          <w:rPr>
            <w:rFonts w:ascii="Calibri" w:hAnsi="Calibri"/>
            <w:color w:val="1D5FA6"/>
            <w:u w:val="single"/>
            <w:sz w:val="22"/>
          </w:rPr>
          <w:t xml:space="preserve">Guía del corpus REP-2906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4">
        <w:r>
          <w:rPr>
            <w:rFonts w:ascii="Calibri" w:hAnsi="Calibri"/>
            <w:color w:val="1D5FA6"/>
            <w:u w:val="single"/>
            <w:sz w:val="22"/>
          </w:rPr>
          <w:t xml:space="preserve">Decisiones de arquitectura del RAG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5">
        <w:r>
          <w:rPr>
            <w:rFonts w:ascii="Calibri" w:hAnsi="Calibri"/>
            <w:color w:val="1D5FA6"/>
            <w:u w:val="single"/>
            <w:sz w:val="22"/>
          </w:rPr>
          <w:t xml:space="preserve">Comparativa de LLM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36">
        <w:r>
          <w:rPr>
            <w:rFonts w:ascii="Calibri" w:hAnsi="Calibri"/>
            <w:color w:val="1D5FA6"/>
            <w:u w:val="single"/>
            <w:sz w:val="22"/>
          </w:rPr>
          <w:t xml:space="preserve">Plan de acción S12–S14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37">
        <w:r>
          <w:rPr>
            <w:rFonts w:ascii="Calibri" w:hAnsi="Calibri"/>
            <w:color w:val="1D5FA6"/>
            <w:u w:val="single"/>
            <w:sz w:val="22"/>
          </w:rPr>
          <w:t xml:space="preserve">Informe del spike RAG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9">
        <w:r>
          <w:rPr>
            <w:rFonts w:ascii="Calibri" w:hAnsi="Calibri"/>
            <w:color w:val="1D5FA6"/>
            <w:u w:val="single"/>
            <w:sz w:val="22"/>
          </w:rPr>
          <w:t xml:space="preserve">REP-1009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0">
        <w:r>
          <w:rPr>
            <w:rFonts w:ascii="Calibri" w:hAnsi="Calibri"/>
            <w:color w:val="1D5FA6"/>
            <w:u w:val="single"/>
            <w:sz w:val="22"/>
          </w:rPr>
          <w:t xml:space="preserve">REP-2908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38">
        <w:r>
          <w:rPr>
            <w:rFonts w:ascii="Calibri" w:hAnsi="Calibri"/>
            <w:color w:val="1D5FA6"/>
            <w:u w:val="single"/>
            <w:sz w:val="22"/>
          </w:rPr>
          <w:t xml:space="preserve">REP-2910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1">
        <w:r>
          <w:rPr>
            <w:rFonts w:ascii="Calibri" w:hAnsi="Calibri"/>
            <w:color w:val="1D5FA6"/>
            <w:u w:val="single"/>
            <w:sz w:val="22"/>
          </w:rPr>
          <w:t xml:space="preserve">REP-3769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39">
        <w:r>
          <w:rPr>
            <w:rFonts w:ascii="Calibri" w:hAnsi="Calibri"/>
            <w:color w:val="1D5FA6"/>
            <w:u w:val="single"/>
            <w:sz w:val="22"/>
          </w:rPr>
          <w:t xml:space="preserve">REP-3752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6">
        <w:r>
          <w:rPr>
            <w:rFonts w:ascii="Calibri" w:hAnsi="Calibri"/>
            <w:color w:val="1D5FA6"/>
            <w:u w:val="single"/>
            <w:sz w:val="22"/>
          </w:rPr>
          <w:t xml:space="preserve">Anexo C — Arquitectura</w:t>
        </w:r>
      </w:hyperlink>
      <w:r>
        <w:rPr>
          <w:rFonts w:ascii="Calibri" w:hAnsi="Calibri"/>
          <w:b w:val="0"/>
          <w:i w:val="0"/>
          <w:color w:val="1C1C1E"/>
          <w:sz w:val="22"/>
        </w:rPr>
        <w:t xml:space="preserve"> · </w:t>
      </w:r>
      <w:hyperlink r:id="rId17">
        <w:r>
          <w:rPr>
            <w:rFonts w:ascii="Calibri" w:hAnsi="Calibri"/>
            <w:color w:val="1D5FA6"/>
            <w:u w:val="single"/>
            <w:sz w:val="22"/>
          </w:rPr>
          <w:t xml:space="preserve">Descarte de Qdrant (REP-3431)</w:t>
        </w:r>
      </w:hyperlink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lz2026.atlassian.net/browse/REP-1009" TargetMode="External"/><Relationship Id="rId10" Type="http://schemas.openxmlformats.org/officeDocument/2006/relationships/hyperlink" Target="https://unlz2026.atlassian.net/browse/REP-2908" TargetMode="External"/><Relationship Id="rId11" Type="http://schemas.openxmlformats.org/officeDocument/2006/relationships/hyperlink" Target="https://unlz2026.atlassian.net/browse/REP-3769" TargetMode="External"/><Relationship Id="rId12" Type="http://schemas.openxmlformats.org/officeDocument/2006/relationships/hyperlink" Target="REP-2906_corpus_minimo_estructura.md" TargetMode="External"/><Relationship Id="rId13" Type="http://schemas.openxmlformats.org/officeDocument/2006/relationships/hyperlink" Target="REP-3769_DER_v3.2.txt" TargetMode="External"/><Relationship Id="rId14" Type="http://schemas.openxmlformats.org/officeDocument/2006/relationships/hyperlink" Target="REP-2908_contrato_arquitectura_RAG.md" TargetMode="External"/><Relationship Id="rId15" Type="http://schemas.openxmlformats.org/officeDocument/2006/relationships/hyperlink" Target="REP-2908_comparativa_LLM.md" TargetMode="External"/><Relationship Id="rId16" Type="http://schemas.openxmlformats.org/officeDocument/2006/relationships/hyperlink" Target="https://unlz2026.atlassian.net/wiki/spaces/Reportalo/pages/22904876" TargetMode="External"/><Relationship Id="rId17" Type="http://schemas.openxmlformats.org/officeDocument/2006/relationships/hyperlink" Target="https://unlz2026.atlassian.net/wiki/spaces/Reportalo/pages/62914561" TargetMode="External"/><Relationship Id="rId18" Type="http://schemas.openxmlformats.org/officeDocument/2006/relationships/hyperlink" Target="https://supabase.com/docs/guides/ai/automatic-embeddings" TargetMode="External"/><Relationship Id="rId19" Type="http://schemas.openxmlformats.org/officeDocument/2006/relationships/hyperlink" Target="https://supabase.com/blog/automatic-embeddings" TargetMode="External"/><Relationship Id="rId20" Type="http://schemas.openxmlformats.org/officeDocument/2006/relationships/hyperlink" Target="https://supabase.com/docs/guides/database/webhooks" TargetMode="External"/><Relationship Id="rId21" Type="http://schemas.openxmlformats.org/officeDocument/2006/relationships/hyperlink" Target="https://supabase.com/docs/guides/database/extensions/pg_net" TargetMode="External"/><Relationship Id="rId22" Type="http://schemas.openxmlformats.org/officeDocument/2006/relationships/hyperlink" Target="https://supabase.com/docs/guides/ai/hybrid-search" TargetMode="External"/><Relationship Id="rId23" Type="http://schemas.openxmlformats.org/officeDocument/2006/relationships/hyperlink" Target="https://supabase.com/docs/guides/ai/rag-with-permissions" TargetMode="External"/><Relationship Id="rId24" Type="http://schemas.openxmlformats.org/officeDocument/2006/relationships/hyperlink" Target="https://supabase.com/docs/guides/functions/limits" TargetMode="External"/><Relationship Id="rId25" Type="http://schemas.openxmlformats.org/officeDocument/2006/relationships/hyperlink" Target="https://supabase.com/docs/guides/troubleshooting/edge-function-cpu-limits" TargetMode="External"/><Relationship Id="rId26" Type="http://schemas.openxmlformats.org/officeDocument/2006/relationships/hyperlink" Target="https://github.com/pgvector/pgvector" TargetMode="External"/><Relationship Id="rId27" Type="http://schemas.openxmlformats.org/officeDocument/2006/relationships/hyperlink" Target="https://ai.google.dev/gemini-api/docs/pricing" TargetMode="External"/><Relationship Id="rId28" Type="http://schemas.openxmlformats.org/officeDocument/2006/relationships/hyperlink" Target="https://ai.google.dev/gemini-api/docs/latest-model" TargetMode="External"/><Relationship Id="rId29" Type="http://schemas.openxmlformats.org/officeDocument/2006/relationships/hyperlink" Target="https://ai.google.dev/gemini-api/docs/generate-content/structured-output" TargetMode="External"/><Relationship Id="rId30" Type="http://schemas.openxmlformats.org/officeDocument/2006/relationships/hyperlink" Target="https://ai.google.dev/api/embeddings" TargetMode="External"/><Relationship Id="rId31" Type="http://schemas.openxmlformats.org/officeDocument/2006/relationships/hyperlink" Target="https://ai.google.dev/gemini-api/docs/deprecations" TargetMode="External"/><Relationship Id="rId32" Type="http://schemas.openxmlformats.org/officeDocument/2006/relationships/hyperlink" Target="https://ai.google.dev/gemini-api/docs/embeddings" TargetMode="External"/><Relationship Id="rId33" Type="http://schemas.openxmlformats.org/officeDocument/2006/relationships/hyperlink" Target="https://platform.claude.com/docs/en/test-and-evaluate/strengthen-guardrails/reduce-hallucinations" TargetMode="External"/><Relationship Id="rId34" Type="http://schemas.openxmlformats.org/officeDocument/2006/relationships/hyperlink" Target="https://normas.gba.gob.ar/documentos/0YqDnfd0.html" TargetMode="External"/><Relationship Id="rId35" Type="http://schemas.openxmlformats.org/officeDocument/2006/relationships/hyperlink" Target="https://servicios.infoleg.gob.ar/infolegInternet/anexos/0-4999/818/texact.htm" TargetMode="External"/><Relationship Id="rId36" Type="http://schemas.openxmlformats.org/officeDocument/2006/relationships/hyperlink" Target="Plan_accion_S12-S14_MVP.md" TargetMode="External"/><Relationship Id="rId37" Type="http://schemas.openxmlformats.org/officeDocument/2006/relationships/hyperlink" Target="REP-2907_informe_spike_rag.md" TargetMode="External"/><Relationship Id="rId38" Type="http://schemas.openxmlformats.org/officeDocument/2006/relationships/hyperlink" Target="https://unlz2026.atlassian.net/browse/REP-2910" TargetMode="External"/><Relationship Id="rId39" Type="http://schemas.openxmlformats.org/officeDocument/2006/relationships/hyperlink" Target="https://unlz2026.atlassian.net/browse/REP-37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RAG jurídico de punta a punta</dc:title>
  <dc:subject/>
  <dc:creator>Hernán Gregorini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