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Reportalo</w:t>
      </w:r>
    </w:p>
    <w:p>
      <w:pPr>
        <w:spacing w:after="240"/>
      </w:pPr>
      <w:r>
        <w:rPr>
          <w:i/>
          <w:iCs/>
          <w:color w:val="555555"/>
          <w:sz w:val="22"/>
          <w:szCs w:val="22"/>
        </w:rPr>
        <w:t xml:space="preserve">Plataforma de Auditoría Ciudadana</w:t>
      </w:r>
    </w:p>
    <w:p>
      <w:pPr>
        <w:spacing w:after="140"/>
      </w:pPr>
      <w:r>
        <w:rPr>
          <w:b/>
          <w:bCs/>
          <w:sz w:val="28"/>
          <w:szCs w:val="28"/>
        </w:rPr>
        <w:t xml:space="preserve">PROPUESTA — RESOLUCIÓN DE LOCALITY_ID EN DOS FASES</w:t>
      </w:r>
    </w:p>
    <w:p>
      <w:pPr>
        <w:spacing w:after="150"/>
      </w:pPr>
      <w:r>
        <w:rPr>
          <w:b/>
          <w:bCs/>
          <w:sz w:val="20"/>
          <w:szCs w:val="20"/>
        </w:rPr>
        <w:t xml:space="preserve">Versión 1.0 · 15 de septiembre de 2026 · Construcción · Proyecto RAR-2026</w:t>
      </w:r>
    </w:p>
    <w:p>
      <w:pPr>
        <w:spacing w:after="60"/>
      </w:pPr>
      <w:r>
        <w:rPr>
          <w:b/>
          <w:bCs/>
          <w:sz w:val="20"/>
          <w:szCs w:val="20"/>
        </w:rPr>
        <w:t xml:space="preserve">Responde a: </w:t>
      </w:r>
      <w:hyperlink w:history="1" r:id="rIduo-d4imrzbxsfjxriny7q">
        <w:r>
          <w:rPr>
            <w:rStyle w:val="Hyperlink"/>
            <w:color w:val="1155CC"/>
            <w:u w:val="single"/>
          </w:rPr>
          <w:t xml:space="preserve">REP-2500_resolucion-locality-id.docx (v1.0)</w:t>
        </w:r>
      </w:hyperlink>
      <w:r>
        <w:rPr>
          <w:sz w:val="20"/>
          <w:szCs w:val="20"/>
        </w:rPr>
        <w:t xml:space="preserve"> y a la devolución de Leo — Hernán de acuerdo.</w:t>
      </w:r>
    </w:p>
    <w:p>
      <w:pPr>
        <w:spacing w:after="160"/>
      </w:pPr>
      <w:r>
        <w:rPr>
          <w:b/>
          <w:bCs/>
          <w:sz w:val="20"/>
          <w:szCs w:val="20"/>
        </w:rPr>
        <w:t xml:space="preserve">Jira: </w:t>
      </w:r>
      <w:hyperlink w:history="1" r:id="rIdh6mh87twtxshlm1ymadth">
        <w:r>
          <w:rPr>
            <w:rStyle w:val="Hyperlink"/>
            <w:color w:val="1155CC"/>
            <w:u w:val="single"/>
          </w:rPr>
          <w:t xml:space="preserve">REP-2500</w:t>
        </w:r>
      </w:hyperlink>
      <w:r>
        <w:rPr>
          <w:sz w:val="20"/>
          <w:szCs w:val="20"/>
        </w:rPr>
        <w:t xml:space="preserve"> (Historia de Usuario · Sprint 12, stretch goal)</w:t>
      </w:r>
    </w:p>
    <w:p>
      <w:pPr>
        <w:spacing w:after="100"/>
      </w:pPr>
      <w:r>
        <w:rPr>
          <w:b/>
          <w:bCs/>
          <w:sz w:val="20"/>
          <w:szCs w:val="20"/>
        </w:rPr>
        <w:t xml:space="preserve">Equipo: </w:t>
      </w:r>
      <w:r>
        <w:rPr>
          <w:sz w:val="20"/>
          <w:szCs w:val="20"/>
        </w:rPr>
        <w:t xml:space="preserve">Hernán Gregorini (PO / Autor) · Leonel Nuñez (PM / Scrum Master) · Matías Krepchuk (Líder Técnico · UX/UI) · Iván Juárez (QA · UX/UI)</w:t>
      </w:r>
    </w:p>
    <w:p>
      <w:pPr>
        <w:spacing w:after="220"/>
      </w:pPr>
      <w:r>
        <w:rPr>
          <w:b/>
          <w:bCs/>
          <w:sz w:val="20"/>
          <w:szCs w:val="20"/>
        </w:rPr>
        <w:t xml:space="preserve">Consultor Especialista: </w:t>
      </w:r>
      <w:r>
        <w:rPr>
          <w:sz w:val="20"/>
          <w:szCs w:val="20"/>
        </w:rPr>
        <w:t xml:space="preserve">Carlos Ruiz (auditor externo · asesoría metodológica)</w:t>
      </w:r>
    </w:p>
    <w:p>
      <w:pPr>
        <w:pBdr>
          <w:left w:val="single" w:color="999999" w:sz="18" w:space="8"/>
        </w:pBdr>
        <w:spacing w:after="200"/>
      </w:pPr>
      <w:r>
        <w:rPr>
          <w:b/>
          <w:bCs/>
          <w:sz w:val="21"/>
          <w:szCs w:val="21"/>
        </w:rPr>
        <w:t xml:space="preserve">Propósito. </w:t>
      </w:r>
      <w:r>
        <w:rPr>
          <w:sz w:val="21"/>
          <w:szCs w:val="21"/>
        </w:rPr>
        <w:t xml:space="preserve">Responder a la propuesta de Leo (Opción 4 automática con Opción 1 como contingencia) con un análisis técnico y una recomendación de cómo secuenciarla, antes de empezar a implementar.</w:t>
      </w:r>
    </w:p>
    <w:p>
      <w:pPr>
        <w:pStyle w:val="Heading1"/>
        <w:spacing w:after="120" w:before="260"/>
      </w:pPr>
      <w:r>
        <w:t xml:space="preserve">1. La propuesta de Leo</w:t>
      </w:r>
    </w:p>
    <w:p>
      <w:pPr>
        <w:spacing w:after="150"/>
      </w:pPr>
      <w:r>
        <w:rPr>
          <w:sz w:val="21"/>
          <w:szCs w:val="21"/>
        </w:rPr>
        <w:t xml:space="preserve">Reverse-geocoding automático (Opción 4) como camino principal; si falla la geolocalización o el reverse-geo, cae al selector manual de localidad (Opción 1) como contingencia. Hernán está de acuerdo.</w:t>
      </w:r>
    </w:p>
    <w:p>
      <w:pPr>
        <w:pBdr>
          <w:left w:val="single" w:color="999999" w:sz="18" w:space="8"/>
        </w:pBdr>
        <w:spacing w:after="200"/>
      </w:pPr>
      <w:r>
        <w:rPr>
          <w:b/>
          <w:bCs/>
          <w:sz w:val="21"/>
          <w:szCs w:val="21"/>
        </w:rPr>
        <w:t xml:space="preserve">Decisión. </w:t>
      </w:r>
      <w:r>
        <w:rPr>
          <w:sz w:val="21"/>
          <w:szCs w:val="21"/>
        </w:rPr>
        <w:t xml:space="preserve">El patrón es correcto — automático primero, con un camino manual de respaldo, es justo lo que evita que el ciudadano quede trabado si una API externa falla. El punto de este documento no es objetar la idea, sino señalar que combina dos piezas de tamaño muy distinto y proponer cómo secuenciarlas.</w:t>
      </w:r>
    </w:p>
    <w:p>
      <w:pPr>
        <w:pStyle w:val="Heading1"/>
        <w:spacing w:after="120" w:before="260"/>
      </w:pPr>
      <w:r>
        <w:t xml:space="preserve">2. Por qué esto no es solo "agregarle un fallback a la Opción 1"</w:t>
      </w:r>
    </w:p>
    <w:p>
      <w:pPr>
        <w:spacing w:after="150"/>
      </w:pPr>
      <w:r>
        <w:rPr>
          <w:sz w:val="21"/>
          <w:szCs w:val="21"/>
        </w:rPr>
        <w:t xml:space="preserve">Combinar las dos opciones trae de vuelta todo el tamaño de la Opción 4 (que en el documento anterior se había dejado fuera de alcance de REP-2500 precisamente por su tamaño). Implementar el reverse-geocoding real implica tres piezas nuevas, ninguna trivial:</w:t>
      </w:r>
    </w:p>
    <w:p>
      <w:pPr>
        <w:spacing w:after="80" w:before="100"/>
      </w:pPr>
      <w:r>
        <w:rPr>
          <w:b/>
          <w:bCs/>
          <w:sz w:val="21"/>
          <w:szCs w:val="21"/>
        </w:rPr>
        <w:t xml:space="preserve">a) Elegir un proveedor externo.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650"/>
        <w:gridCol w:w="2500"/>
      </w:tblGrid>
      <w:tr>
        <w:tc>
          <w:tcPr>
            <w:tcW w:type="dxa" w:w="2400"/>
            <w:shd w:fill="D9E2F3" w:val="clear"/>
            <w:tcMar>
              <w:top w:type="dxa" w:w="70"/>
              <w:left w:type="dxa" w:w="90"/>
              <w:bottom w:type="dxa" w:w="70"/>
              <w:right w:type="dxa" w:w="90"/>
            </w:tcMar>
          </w:tcPr>
          <w:p>
            <w:r>
              <w:rPr>
                <w:b/>
                <w:bCs/>
                <w:sz w:val="19"/>
                <w:szCs w:val="19"/>
              </w:rPr>
              <w:t xml:space="preserve">Proveedor</w:t>
            </w:r>
          </w:p>
        </w:tc>
        <w:tc>
          <w:tcPr>
            <w:tcW w:type="dxa" w:w="1800"/>
            <w:shd w:fill="D9E2F3" w:val="clear"/>
            <w:tcMar>
              <w:top w:type="dxa" w:w="70"/>
              <w:left w:type="dxa" w:w="90"/>
              <w:bottom w:type="dxa" w:w="70"/>
              <w:right w:type="dxa" w:w="90"/>
            </w:tcMar>
          </w:tcPr>
          <w:p>
            <w:r>
              <w:rPr>
                <w:b/>
                <w:bCs/>
                <w:sz w:val="19"/>
                <w:szCs w:val="19"/>
              </w:rPr>
              <w:t xml:space="preserve">Costo</w:t>
            </w:r>
          </w:p>
        </w:tc>
        <w:tc>
          <w:tcPr>
            <w:tcW w:type="dxa" w:w="2650"/>
            <w:shd w:fill="D9E2F3" w:val="clear"/>
            <w:tcMar>
              <w:top w:type="dxa" w:w="70"/>
              <w:left w:type="dxa" w:w="90"/>
              <w:bottom w:type="dxa" w:w="70"/>
              <w:right w:type="dxa" w:w="90"/>
            </w:tcMar>
          </w:tcPr>
          <w:p>
            <w:r>
              <w:rPr>
                <w:b/>
                <w:bCs/>
                <w:sz w:val="19"/>
                <w:szCs w:val="19"/>
              </w:rPr>
              <w:t xml:space="preserve">Precisión en Argentina</w:t>
            </w:r>
          </w:p>
        </w:tc>
        <w:tc>
          <w:tcPr>
            <w:tcW w:type="dxa" w:w="2500"/>
            <w:shd w:fill="D9E2F3" w:val="clear"/>
            <w:tcMar>
              <w:top w:type="dxa" w:w="70"/>
              <w:left w:type="dxa" w:w="90"/>
              <w:bottom w:type="dxa" w:w="70"/>
              <w:right w:type="dxa" w:w="90"/>
            </w:tcMar>
          </w:tcPr>
          <w:p>
            <w:r>
              <w:rPr>
                <w:b/>
                <w:bCs/>
                <w:sz w:val="19"/>
                <w:szCs w:val="19"/>
              </w:rPr>
              <w:t xml:space="preserve">Límite de uso</w:t>
            </w:r>
          </w:p>
        </w:tc>
      </w:tr>
      <w:tr>
        <w:tc>
          <w:tcPr>
            <w:tcW w:type="dxa" w:w="2400"/>
            <w:tcMar>
              <w:top w:type="dxa" w:w="70"/>
              <w:left w:type="dxa" w:w="90"/>
              <w:bottom w:type="dxa" w:w="70"/>
              <w:right w:type="dxa" w:w="90"/>
            </w:tcMar>
          </w:tcPr>
          <w:p>
            <w:r>
              <w:rPr>
                <w:b w:val="false"/>
                <w:bCs w:val="false"/>
                <w:sz w:val="19"/>
                <w:szCs w:val="19"/>
              </w:rPr>
              <w:t xml:space="preserve">Google Geocoding API</w:t>
            </w:r>
          </w:p>
        </w:tc>
        <w:tc>
          <w:tcPr>
            <w:tcW w:type="dxa" w:w="1800"/>
            <w:tcMar>
              <w:top w:type="dxa" w:w="70"/>
              <w:left w:type="dxa" w:w="90"/>
              <w:bottom w:type="dxa" w:w="70"/>
              <w:right w:type="dxa" w:w="90"/>
            </w:tcMar>
          </w:tcPr>
          <w:p>
            <w:r>
              <w:rPr>
                <w:b w:val="false"/>
                <w:bCs w:val="false"/>
                <w:sz w:val="19"/>
                <w:szCs w:val="19"/>
              </w:rPr>
              <w:t xml:space="preserve">Pago por request</w:t>
            </w:r>
          </w:p>
        </w:tc>
        <w:tc>
          <w:tcPr>
            <w:tcW w:type="dxa" w:w="2650"/>
            <w:tcMar>
              <w:top w:type="dxa" w:w="70"/>
              <w:left w:type="dxa" w:w="90"/>
              <w:bottom w:type="dxa" w:w="70"/>
              <w:right w:type="dxa" w:w="90"/>
            </w:tcMar>
          </w:tcPr>
          <w:p>
            <w:r>
              <w:rPr>
                <w:b w:val="false"/>
                <w:bCs w:val="false"/>
                <w:sz w:val="19"/>
                <w:szCs w:val="19"/>
              </w:rPr>
              <w:t xml:space="preserve">Alta</w:t>
            </w:r>
          </w:p>
        </w:tc>
        <w:tc>
          <w:tcPr>
            <w:tcW w:type="dxa" w:w="2500"/>
            <w:tcMar>
              <w:top w:type="dxa" w:w="70"/>
              <w:left w:type="dxa" w:w="90"/>
              <w:bottom w:type="dxa" w:w="70"/>
              <w:right w:type="dxa" w:w="90"/>
            </w:tcMar>
          </w:tcPr>
          <w:p>
            <w:r>
              <w:rPr>
                <w:b w:val="false"/>
                <w:bCs w:val="false"/>
                <w:sz w:val="19"/>
                <w:szCs w:val="19"/>
              </w:rPr>
              <w:t xml:space="preserve">Cuota configurable, requiere billing</w:t>
            </w:r>
          </w:p>
        </w:tc>
      </w:tr>
      <w:tr>
        <w:tc>
          <w:tcPr>
            <w:tcW w:type="dxa" w:w="2400"/>
            <w:tcMar>
              <w:top w:type="dxa" w:w="70"/>
              <w:left w:type="dxa" w:w="90"/>
              <w:bottom w:type="dxa" w:w="70"/>
              <w:right w:type="dxa" w:w="90"/>
            </w:tcMar>
          </w:tcPr>
          <w:p>
            <w:r>
              <w:rPr>
                <w:b w:val="false"/>
                <w:bCs w:val="false"/>
                <w:sz w:val="19"/>
                <w:szCs w:val="19"/>
              </w:rPr>
              <w:t xml:space="preserve">Nominatim (OpenStreetMap)</w:t>
            </w:r>
          </w:p>
        </w:tc>
        <w:tc>
          <w:tcPr>
            <w:tcW w:type="dxa" w:w="1800"/>
            <w:tcMar>
              <w:top w:type="dxa" w:w="70"/>
              <w:left w:type="dxa" w:w="90"/>
              <w:bottom w:type="dxa" w:w="70"/>
              <w:right w:type="dxa" w:w="90"/>
            </w:tcMar>
          </w:tcPr>
          <w:p>
            <w:r>
              <w:rPr>
                <w:b w:val="false"/>
                <w:bCs w:val="false"/>
                <w:sz w:val="19"/>
                <w:szCs w:val="19"/>
              </w:rPr>
              <w:t xml:space="preserve">Gratis</w:t>
            </w:r>
          </w:p>
        </w:tc>
        <w:tc>
          <w:tcPr>
            <w:tcW w:type="dxa" w:w="2650"/>
            <w:tcMar>
              <w:top w:type="dxa" w:w="70"/>
              <w:left w:type="dxa" w:w="90"/>
              <w:bottom w:type="dxa" w:w="70"/>
              <w:right w:type="dxa" w:w="90"/>
            </w:tcMar>
          </w:tcPr>
          <w:p>
            <w:r>
              <w:rPr>
                <w:b w:val="false"/>
                <w:bCs w:val="false"/>
                <w:sz w:val="19"/>
                <w:szCs w:val="19"/>
              </w:rPr>
              <w:t xml:space="preserve">Media — puede fallar en CABA/Avellaneda</w:t>
            </w:r>
          </w:p>
        </w:tc>
        <w:tc>
          <w:tcPr>
            <w:tcW w:type="dxa" w:w="2500"/>
            <w:tcMar>
              <w:top w:type="dxa" w:w="70"/>
              <w:left w:type="dxa" w:w="90"/>
              <w:bottom w:type="dxa" w:w="70"/>
              <w:right w:type="dxa" w:w="90"/>
            </w:tcMar>
          </w:tcPr>
          <w:p>
            <w:r>
              <w:rPr>
                <w:b w:val="false"/>
                <w:bCs w:val="false"/>
                <w:sz w:val="19"/>
                <w:szCs w:val="19"/>
              </w:rPr>
              <w:t xml:space="preserve">1 request/segundo, sin SLA</w:t>
            </w:r>
          </w:p>
        </w:tc>
      </w:tr>
    </w:tbl>
    <w:p>
      <w:pPr>
        <w:spacing w:after="150"/>
      </w:pPr>
    </w:p>
    <w:p>
      <w:pPr>
        <w:spacing w:after="80" w:before="100"/>
      </w:pPr>
      <w:r>
        <w:rPr>
          <w:b/>
          <w:bCs/>
          <w:sz w:val="21"/>
          <w:szCs w:val="21"/>
        </w:rPr>
        <w:t xml:space="preserve">b) Matchear el resultado contra localities.</w:t>
      </w:r>
    </w:p>
    <w:p>
      <w:pPr>
        <w:spacing w:after="150"/>
      </w:pPr>
      <w:r>
        <w:rPr>
          <w:sz w:val="21"/>
          <w:szCs w:val="21"/>
        </w:rPr>
        <w:t xml:space="preserve">El proveedor devuelve texto libre (ej. "Palermo, Buenos Aires, Argentina"), no un id de la tabla. Hay que resolver ese texto contra los nombres reales — no es un lookup directo.</w:t>
      </w:r>
    </w:p>
    <w:p>
      <w:pPr>
        <w:spacing w:after="80" w:before="100"/>
      </w:pPr>
      <w:r>
        <w:rPr>
          <w:b/>
          <w:bCs/>
          <w:sz w:val="21"/>
          <w:szCs w:val="21"/>
        </w:rPr>
        <w:t xml:space="preserve">c) Ya hay un problema de datos que bloquea ese matching.</w:t>
      </w:r>
    </w:p>
    <w:p>
      <w:pPr>
        <w:spacing w:after="150"/>
      </w:pPr>
      <w:r>
        <w:rPr>
          <w:sz w:val="21"/>
          <w:szCs w:val="21"/>
        </w:rPr>
        <w:t xml:space="preserve">Existen dos filas "Avellaneda" duplicadas en localities (mismo nombre, misma subdivisión). Sin un criterio de desambiguación, el matching automático puede resolver a cualquiera de las dos sin control.</w:t>
      </w:r>
    </w:p>
    <w:p>
      <w:pPr>
        <w:spacing w:after="80" w:before="100"/>
      </w:pPr>
      <w:r>
        <w:rPr>
          <w:b/>
          <w:bCs/>
          <w:sz w:val="21"/>
          <w:szCs w:val="21"/>
        </w:rPr>
        <w:t xml:space="preserve">d) Falta definir "cuándo cae al fallback".</w:t>
      </w:r>
    </w:p>
    <w:p>
      <w:pPr>
        <w:spacing w:after="150"/>
      </w:pPr>
      <w:r>
        <w:rPr>
          <w:sz w:val="21"/>
          <w:szCs w:val="21"/>
        </w:rPr>
        <w:t xml:space="preserve">¿Solo si la API devuelve error? ¿También si devuelve algo pero con baja confianza? Es una decisión de producto, no una consecuencia automática de usar las dos opciones juntas.</w:t>
      </w:r>
    </w:p>
    <w:p>
      <w:pPr>
        <w:pStyle w:val="Heading1"/>
        <w:spacing w:after="120" w:before="260"/>
      </w:pPr>
      <w:r>
        <w:t xml:space="preserve">3. Recomendación: dos fases, no una entrega</w:t>
      </w:r>
    </w:p>
    <w:p>
      <w:pPr>
        <w:spacing w:after="80" w:before="100"/>
      </w:pPr>
      <w:r>
        <w:rPr>
          <w:b/>
          <w:bCs/>
          <w:sz w:val="21"/>
          <w:szCs w:val="21"/>
        </w:rPr>
        <w:t xml:space="preserve">Fase 1 — REP-2500, Sprint 12 (ahora).</w:t>
      </w:r>
    </w:p>
    <w:p>
      <w:pPr>
        <w:spacing w:after="150"/>
      </w:pPr>
      <w:r>
        <w:rPr>
          <w:sz w:val="21"/>
          <w:szCs w:val="21"/>
        </w:rPr>
        <w:t xml:space="preserve">Implementar el selector manual (Opción 1) como única vía. Cierra el ticket sin depender de decisiones externas todavía pendientes. El ciudadano elige su localidad de una lista real; sin llamadas a servicios externos.</w:t>
      </w:r>
    </w:p>
    <w:p>
      <w:pPr>
        <w:spacing w:after="80" w:before="100"/>
      </w:pPr>
      <w:r>
        <w:rPr>
          <w:b/>
          <w:bCs/>
          <w:sz w:val="21"/>
          <w:szCs w:val="21"/>
        </w:rPr>
        <w:t xml:space="preserve">Fase 2 — ticket aparte, sprint a definir.</w:t>
      </w:r>
    </w:p>
    <w:p>
      <w:pPr>
        <w:spacing w:after="150"/>
      </w:pPr>
      <w:r>
        <w:rPr>
          <w:sz w:val="21"/>
          <w:szCs w:val="21"/>
        </w:rPr>
        <w:t xml:space="preserve">Agregar el reverse-geocoding automático (Opción 4) encima del selector ya existente: se intenta resolver la localidad automáticamente y, si falla o no hay confianza suficiente, se precarga el selector de la Fase 1 en vez de dejarlo vacío — el comportamiento que pidió Leo, construido sobre una base que ya funciona.</w:t>
      </w:r>
    </w:p>
    <w:p>
      <w:pPr>
        <w:spacing w:after="150"/>
      </w:pPr>
      <w:r>
        <w:rPr>
          <w:sz w:val="21"/>
          <w:szCs w:val="21"/>
        </w:rPr>
        <w:t xml:space="preserve">Antes de esa Fase 2 hace falta, como prerrequisito, corregir el duplicado de "Avellaneda" en localities (dato, no código) y decidir el proveedor.</w:t>
      </w:r>
    </w:p>
    <w:p>
      <w:pPr>
        <w:pStyle w:val="Heading1"/>
        <w:spacing w:after="120" w:before="260"/>
      </w:pPr>
      <w:r>
        <w:t xml:space="preserve">4. Tabla de decisiones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5750"/>
        <w:gridCol w:w="2700"/>
      </w:tblGrid>
      <w:tr>
        <w:tc>
          <w:tcPr>
            <w:tcW w:type="dxa" w:w="900"/>
            <w:shd w:fill="D9E2F3" w:val="clear"/>
            <w:tcMar>
              <w:top w:type="dxa" w:w="70"/>
              <w:left w:type="dxa" w:w="90"/>
              <w:bottom w:type="dxa" w:w="70"/>
              <w:right w:type="dxa" w:w="90"/>
            </w:tcMar>
          </w:tcPr>
          <w:p>
            <w:r>
              <w:rPr>
                <w:b/>
                <w:bCs/>
                <w:sz w:val="19"/>
                <w:szCs w:val="19"/>
              </w:rPr>
              <w:t xml:space="preserve">Ref.</w:t>
            </w:r>
          </w:p>
        </w:tc>
        <w:tc>
          <w:tcPr>
            <w:tcW w:type="dxa" w:w="5750"/>
            <w:shd w:fill="D9E2F3" w:val="clear"/>
            <w:tcMar>
              <w:top w:type="dxa" w:w="70"/>
              <w:left w:type="dxa" w:w="90"/>
              <w:bottom w:type="dxa" w:w="70"/>
              <w:right w:type="dxa" w:w="90"/>
            </w:tcMar>
          </w:tcPr>
          <w:p>
            <w:r>
              <w:rPr>
                <w:b/>
                <w:bCs/>
                <w:sz w:val="19"/>
                <w:szCs w:val="19"/>
              </w:rPr>
              <w:t xml:space="preserve">Observación / Decisión</w:t>
            </w:r>
          </w:p>
        </w:tc>
        <w:tc>
          <w:tcPr>
            <w:tcW w:type="dxa" w:w="2700"/>
            <w:shd w:fill="D9E2F3" w:val="clear"/>
            <w:tcMar>
              <w:top w:type="dxa" w:w="70"/>
              <w:left w:type="dxa" w:w="90"/>
              <w:bottom w:type="dxa" w:w="70"/>
              <w:right w:type="dxa" w:w="90"/>
            </w:tcMar>
          </w:tcPr>
          <w:p>
            <w:r>
              <w:rPr>
                <w:b/>
                <w:bCs/>
                <w:sz w:val="19"/>
                <w:szCs w:val="19"/>
              </w:rPr>
              <w:t xml:space="preserve">A quién corresponde</w:t>
            </w:r>
          </w:p>
        </w:tc>
      </w:tr>
      <w:tr>
        <w:tc>
          <w:tcPr>
            <w:tcW w:type="dxa" w:w="900"/>
            <w:tcMar>
              <w:top w:type="dxa" w:w="70"/>
              <w:left w:type="dxa" w:w="90"/>
              <w:bottom w:type="dxa" w:w="70"/>
              <w:right w:type="dxa" w:w="90"/>
            </w:tcMar>
          </w:tcPr>
          <w:p>
            <w:r>
              <w:rPr>
                <w:b w:val="false"/>
                <w:bCs w:val="false"/>
                <w:sz w:val="19"/>
                <w:szCs w:val="19"/>
              </w:rPr>
              <w:t xml:space="preserve">O-1</w:t>
            </w:r>
          </w:p>
        </w:tc>
        <w:tc>
          <w:tcPr>
            <w:tcW w:type="dxa" w:w="5750"/>
            <w:tcMar>
              <w:top w:type="dxa" w:w="70"/>
              <w:left w:type="dxa" w:w="90"/>
              <w:bottom w:type="dxa" w:w="70"/>
              <w:right w:type="dxa" w:w="90"/>
            </w:tcMar>
          </w:tcPr>
          <w:p>
            <w:r>
              <w:rPr>
                <w:b w:val="false"/>
                <w:bCs w:val="false"/>
                <w:sz w:val="19"/>
                <w:szCs w:val="19"/>
              </w:rPr>
              <w:t xml:space="preserve">Aprobar la secuencia en dos fases (selector ahora, geocoding + fallback después)</w:t>
            </w:r>
          </w:p>
        </w:tc>
        <w:tc>
          <w:tcPr>
            <w:tcW w:type="dxa" w:w="2700"/>
            <w:tcMar>
              <w:top w:type="dxa" w:w="70"/>
              <w:left w:type="dxa" w:w="90"/>
              <w:bottom w:type="dxa" w:w="70"/>
              <w:right w:type="dxa" w:w="90"/>
            </w:tcMar>
          </w:tcPr>
          <w:p>
            <w:r>
              <w:rPr>
                <w:b w:val="false"/>
                <w:bCs w:val="false"/>
                <w:sz w:val="19"/>
                <w:szCs w:val="19"/>
              </w:rPr>
              <w:t xml:space="preserve">Leonel Nuñez, Hernán Gregorini</w:t>
            </w:r>
          </w:p>
        </w:tc>
      </w:tr>
      <w:tr>
        <w:tc>
          <w:tcPr>
            <w:tcW w:type="dxa" w:w="900"/>
            <w:tcMar>
              <w:top w:type="dxa" w:w="70"/>
              <w:left w:type="dxa" w:w="90"/>
              <w:bottom w:type="dxa" w:w="70"/>
              <w:right w:type="dxa" w:w="90"/>
            </w:tcMar>
          </w:tcPr>
          <w:p>
            <w:r>
              <w:rPr>
                <w:b w:val="false"/>
                <w:bCs w:val="false"/>
                <w:sz w:val="19"/>
                <w:szCs w:val="19"/>
              </w:rPr>
              <w:t xml:space="preserve">O-2</w:t>
            </w:r>
          </w:p>
        </w:tc>
        <w:tc>
          <w:tcPr>
            <w:tcW w:type="dxa" w:w="5750"/>
            <w:tcMar>
              <w:top w:type="dxa" w:w="70"/>
              <w:left w:type="dxa" w:w="90"/>
              <w:bottom w:type="dxa" w:w="70"/>
              <w:right w:type="dxa" w:w="90"/>
            </w:tcMar>
          </w:tcPr>
          <w:p>
            <w:r>
              <w:rPr>
                <w:b w:val="false"/>
                <w:bCs w:val="false"/>
                <w:sz w:val="19"/>
                <w:szCs w:val="19"/>
              </w:rPr>
              <w:t xml:space="preserve">Elegir proveedor de geocoding para la Fase 2</w:t>
            </w:r>
          </w:p>
        </w:tc>
        <w:tc>
          <w:tcPr>
            <w:tcW w:type="dxa" w:w="2700"/>
            <w:tcMar>
              <w:top w:type="dxa" w:w="70"/>
              <w:left w:type="dxa" w:w="90"/>
              <w:bottom w:type="dxa" w:w="70"/>
              <w:right w:type="dxa" w:w="90"/>
            </w:tcMar>
          </w:tcPr>
          <w:p>
            <w:r>
              <w:rPr>
                <w:b w:val="false"/>
                <w:bCs w:val="false"/>
                <w:sz w:val="19"/>
                <w:szCs w:val="19"/>
              </w:rPr>
              <w:t xml:space="preserve">Hernán Gregorini, Matías Krepchuk</w:t>
            </w:r>
          </w:p>
        </w:tc>
      </w:tr>
      <w:tr>
        <w:tc>
          <w:tcPr>
            <w:tcW w:type="dxa" w:w="900"/>
            <w:tcMar>
              <w:top w:type="dxa" w:w="70"/>
              <w:left w:type="dxa" w:w="90"/>
              <w:bottom w:type="dxa" w:w="70"/>
              <w:right w:type="dxa" w:w="90"/>
            </w:tcMar>
          </w:tcPr>
          <w:p>
            <w:r>
              <w:rPr>
                <w:b w:val="false"/>
                <w:bCs w:val="false"/>
                <w:sz w:val="19"/>
                <w:szCs w:val="19"/>
              </w:rPr>
              <w:t xml:space="preserve">O-3</w:t>
            </w:r>
          </w:p>
        </w:tc>
        <w:tc>
          <w:tcPr>
            <w:tcW w:type="dxa" w:w="5750"/>
            <w:tcMar>
              <w:top w:type="dxa" w:w="70"/>
              <w:left w:type="dxa" w:w="90"/>
              <w:bottom w:type="dxa" w:w="70"/>
              <w:right w:type="dxa" w:w="90"/>
            </w:tcMar>
          </w:tcPr>
          <w:p>
            <w:r>
              <w:rPr>
                <w:b w:val="false"/>
                <w:bCs w:val="false"/>
                <w:sz w:val="19"/>
                <w:szCs w:val="19"/>
              </w:rPr>
              <w:t xml:space="preserve">Corregir el duplicado de "Avellaneda" en localities antes de la Fase 2</w:t>
            </w:r>
          </w:p>
        </w:tc>
        <w:tc>
          <w:tcPr>
            <w:tcW w:type="dxa" w:w="2700"/>
            <w:tcMar>
              <w:top w:type="dxa" w:w="70"/>
              <w:left w:type="dxa" w:w="90"/>
              <w:bottom w:type="dxa" w:w="70"/>
              <w:right w:type="dxa" w:w="90"/>
            </w:tcMar>
          </w:tcPr>
          <w:p>
            <w:r>
              <w:rPr>
                <w:b w:val="false"/>
                <w:bCs w:val="false"/>
                <w:sz w:val="19"/>
                <w:szCs w:val="19"/>
              </w:rPr>
              <w:t xml:space="preserve">Hernán Gregorini</w:t>
            </w:r>
          </w:p>
        </w:tc>
      </w:tr>
      <w:tr>
        <w:tc>
          <w:tcPr>
            <w:tcW w:type="dxa" w:w="900"/>
            <w:tcMar>
              <w:top w:type="dxa" w:w="70"/>
              <w:left w:type="dxa" w:w="90"/>
              <w:bottom w:type="dxa" w:w="70"/>
              <w:right w:type="dxa" w:w="90"/>
            </w:tcMar>
          </w:tcPr>
          <w:p>
            <w:r>
              <w:rPr>
                <w:b w:val="false"/>
                <w:bCs w:val="false"/>
                <w:sz w:val="19"/>
                <w:szCs w:val="19"/>
              </w:rPr>
              <w:t xml:space="preserve">O-4</w:t>
            </w:r>
          </w:p>
        </w:tc>
        <w:tc>
          <w:tcPr>
            <w:tcW w:type="dxa" w:w="5750"/>
            <w:tcMar>
              <w:top w:type="dxa" w:w="70"/>
              <w:left w:type="dxa" w:w="90"/>
              <w:bottom w:type="dxa" w:w="70"/>
              <w:right w:type="dxa" w:w="90"/>
            </w:tcMar>
          </w:tcPr>
          <w:p>
            <w:r>
              <w:rPr>
                <w:b w:val="false"/>
                <w:bCs w:val="false"/>
                <w:sz w:val="19"/>
                <w:szCs w:val="19"/>
              </w:rPr>
              <w:t xml:space="preserve">Definir el criterio exacto de "cuándo cae al fallback" en la Fase 2</w:t>
            </w:r>
          </w:p>
        </w:tc>
        <w:tc>
          <w:tcPr>
            <w:tcW w:type="dxa" w:w="2700"/>
            <w:tcMar>
              <w:top w:type="dxa" w:w="70"/>
              <w:left w:type="dxa" w:w="90"/>
              <w:bottom w:type="dxa" w:w="70"/>
              <w:right w:type="dxa" w:w="90"/>
            </w:tcMar>
          </w:tcPr>
          <w:p>
            <w:r>
              <w:rPr>
                <w:b w:val="false"/>
                <w:bCs w:val="false"/>
                <w:sz w:val="19"/>
                <w:szCs w:val="19"/>
              </w:rPr>
              <w:t xml:space="preserve">Hernán Gregorini, Leonel Nuñez</w:t>
            </w:r>
          </w:p>
        </w:tc>
      </w:tr>
    </w:tbl>
    <w:p>
      <w:pPr>
        <w:spacing w:before="220"/>
      </w:pPr>
    </w:p>
    <w:p>
      <w:r>
        <w:rPr>
          <w:b/>
          <w:bCs/>
          <w:sz w:val="20"/>
          <w:szCs w:val="20"/>
        </w:rPr>
        <w:t xml:space="preserve">Documentos relacionados: </w:t>
      </w:r>
      <w:hyperlink w:history="1" r:id="rIdcmoxqmikxixhxgpkutkyy">
        <w:r>
          <w:rPr>
            <w:rStyle w:val="Hyperlink"/>
            <w:color w:val="1155CC"/>
            <w:u w:val="single"/>
          </w:rPr>
          <w:t xml:space="preserve">REP-2500</w:t>
        </w:r>
      </w:hyperlink>
      <w:r>
        <w:rPr>
          <w:sz w:val="20"/>
          <w:szCs w:val="20"/>
        </w:rPr>
        <w:t xml:space="preserve"> · REP-2500_resolucion-locality-id.docx (v1.0, 14/09)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o-d4imrzbxsfjxriny7q" Type="http://schemas.openxmlformats.org/officeDocument/2006/relationships/hyperlink" Target="https://unlz2026.atlassian.net/browse/REP-2500" TargetMode="External"/><Relationship Id="rIdh6mh87twtxshlm1ymadth" Type="http://schemas.openxmlformats.org/officeDocument/2006/relationships/hyperlink" Target="https://unlz2026.atlassian.net/browse/REP-2500" TargetMode="External"/><Relationship Id="rIdcmoxqmikxixhxgpkutkyy" Type="http://schemas.openxmlformats.org/officeDocument/2006/relationships/hyperlink" Target="https://unlz2026.atlassian.net/browse/REP-250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2026-09-15T13:30:31.917Z</dcterms:created>
  <dcterms:modified xsi:type="dcterms:W3CDTF">2026-09-15T13:30:31.918Z</dcterms:modified>
</cp:coreProperties>
</file>

<file path=docProps/custom.xml><?xml version="1.0" encoding="utf-8"?>
<Properties xmlns="http://schemas.openxmlformats.org/officeDocument/2006/custom-properties" xmlns:vt="http://schemas.openxmlformats.org/officeDocument/2006/docPropsVTypes"/>
</file>