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1"/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95"/>
        <w:gridCol w:w="1190"/>
        <w:gridCol w:w="1190"/>
        <w:gridCol w:w="1190"/>
        <w:gridCol w:w="1198"/>
        <w:gridCol w:w="1190"/>
      </w:tblGrid>
      <w:tr w:rsidR="00381389" w:rsidRPr="007C36E1" w14:paraId="0CAE8A0E" w14:textId="77777777" w:rsidTr="00381389">
        <w:trPr>
          <w:gridAfter w:val="3"/>
          <w:wAfter w:w="3578" w:type="dxa"/>
          <w:cantSplit/>
          <w:tblHeader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A58D" w14:textId="77777777" w:rsidR="00381389" w:rsidRPr="007C36E1" w:rsidRDefault="00381389" w:rsidP="000F4DC7">
            <w:pPr>
              <w:keepNext/>
              <w:spacing w:after="60"/>
              <w:jc w:val="right"/>
              <w:rPr>
                <w:rFonts w:ascii="Calibri" w:hAnsi="Calibri"/>
                <w:b/>
                <w:sz w:val="16"/>
                <w:szCs w:val="16"/>
              </w:rPr>
            </w:pPr>
            <w:bookmarkStart w:id="0" w:name="_Hlk174452958"/>
            <w:r>
              <w:rPr>
                <w:rFonts w:ascii="Calibri" w:hAnsi="Calibri"/>
                <w:b/>
                <w:sz w:val="16"/>
                <w:szCs w:val="16"/>
              </w:rPr>
              <w:t xml:space="preserve">ILI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exposure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C16D" w14:textId="77777777" w:rsidR="00381389" w:rsidRPr="007C36E1" w:rsidRDefault="00381389" w:rsidP="000F4DC7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not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exposed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C3C6CD" w14:textId="77777777" w:rsidR="00381389" w:rsidRPr="007C36E1" w:rsidRDefault="00381389" w:rsidP="000F4DC7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b/>
                <w:sz w:val="16"/>
                <w:szCs w:val="16"/>
              </w:rPr>
              <w:t>unknown</w:t>
            </w:r>
            <w:proofErr w:type="spellEnd"/>
          </w:p>
        </w:tc>
      </w:tr>
      <w:tr w:rsidR="00381389" w:rsidRPr="007C36E1" w14:paraId="71BE8EC1" w14:textId="77777777" w:rsidTr="00381389">
        <w:trPr>
          <w:cantSplit/>
          <w:tblHeader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FDED" w14:textId="77777777" w:rsidR="00381389" w:rsidRPr="007C36E1" w:rsidRDefault="00381389" w:rsidP="00827A99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b/>
                <w:sz w:val="16"/>
                <w:szCs w:val="16"/>
              </w:rPr>
              <w:t>Variable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2178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1,895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4F786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75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7738A6" w14:textId="76856FCF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hAnsi="Calibri"/>
                <w:sz w:val="16"/>
                <w:szCs w:val="16"/>
              </w:rPr>
              <w:t>9</w:t>
            </w:r>
            <w:r w:rsidRPr="007C36E1">
              <w:rPr>
                <w:rFonts w:ascii="Calibri" w:hAnsi="Calibri"/>
                <w:sz w:val="16"/>
                <w:szCs w:val="16"/>
              </w:rPr>
              <w:t>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7D460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98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5CD75B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14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</w:tr>
      <w:tr w:rsidR="00381389" w:rsidRPr="007C36E1" w14:paraId="4E9AC4AD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7401" w14:textId="77777777" w:rsidR="00381389" w:rsidRPr="007C36E1" w:rsidRDefault="00381389" w:rsidP="00827A99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(g)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27CD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3,203.5 (562.4)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5AA5A" w14:textId="77777777" w:rsidR="00381389" w:rsidRPr="00827A99" w:rsidRDefault="00381389" w:rsidP="00827A99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3,077.3 (576.3)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F39A59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3,200.2 (538.5)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FA4BA9" w14:textId="77777777" w:rsidR="00381389" w:rsidRPr="00827A99" w:rsidRDefault="00381389" w:rsidP="00827A99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2,969.3 (630.0)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729A6B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3,114.3 (541.2)</w:t>
            </w:r>
          </w:p>
        </w:tc>
      </w:tr>
      <w:tr w:rsidR="00381389" w:rsidRPr="007C36E1" w14:paraId="71C0A762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F778" w14:textId="77777777" w:rsidR="00381389" w:rsidRPr="007C36E1" w:rsidRDefault="00381389" w:rsidP="00827A99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head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circumference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(cm)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692B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34.4 (1.8)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9887C3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34.2 (1.8)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265B56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34.4 (2.0)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0C4716" w14:textId="77777777" w:rsidR="00381389" w:rsidRPr="00827A99" w:rsidRDefault="00381389" w:rsidP="00827A99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33.8 (2.0)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06B0FD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33.8 (1.6)</w:t>
            </w:r>
          </w:p>
        </w:tc>
      </w:tr>
      <w:tr w:rsidR="00381389" w:rsidRPr="007C36E1" w14:paraId="2F238677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53C4" w14:textId="77777777" w:rsidR="00381389" w:rsidRPr="007C36E1" w:rsidRDefault="00381389" w:rsidP="00827A99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placenta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(g)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2EBE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586.6 (119.2)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1ECC4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573.3 (107.9)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A68E64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565.3 (106.1)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82FAD4" w14:textId="77777777" w:rsidR="00381389" w:rsidRPr="00827A99" w:rsidRDefault="00381389" w:rsidP="00827A99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521.5 (101.9)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E45AC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521.4 (111.1)</w:t>
            </w:r>
          </w:p>
        </w:tc>
      </w:tr>
      <w:tr w:rsidR="00381389" w:rsidRPr="007C36E1" w14:paraId="18D610C3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58CE" w14:textId="77777777" w:rsidR="00381389" w:rsidRPr="007C36E1" w:rsidRDefault="00381389" w:rsidP="00827A99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length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(cm)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7495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49.1 (2.7)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4E563D" w14:textId="77777777" w:rsidR="00381389" w:rsidRPr="00827A99" w:rsidRDefault="00381389" w:rsidP="00827A99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48.5 (2.6)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446094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49.4 (2.5)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ABE538" w14:textId="77777777" w:rsidR="00381389" w:rsidRPr="00827A99" w:rsidRDefault="00381389" w:rsidP="00827A99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48.2 (3.6)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AA2EE7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48.4 (2.9)</w:t>
            </w:r>
          </w:p>
        </w:tc>
      </w:tr>
      <w:tr w:rsidR="00381389" w:rsidRPr="007C36E1" w14:paraId="5EC4F1CA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CF32" w14:textId="77777777" w:rsidR="00381389" w:rsidRPr="007C36E1" w:rsidRDefault="00381389" w:rsidP="00827A99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ponderal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index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A082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2.7 (0.3)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A471EA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2.7 (0.3)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83A4D1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2.6 (0.2)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EE6313" w14:textId="77777777" w:rsidR="00381389" w:rsidRPr="00827A99" w:rsidRDefault="00381389" w:rsidP="00827A99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2.6 (0.3)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70A05D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2.7 (0.3)</w:t>
            </w:r>
          </w:p>
        </w:tc>
      </w:tr>
      <w:tr w:rsidR="00381389" w:rsidRPr="007C36E1" w14:paraId="7A8B22B8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C2B3" w14:textId="77777777" w:rsidR="00381389" w:rsidRPr="007C36E1" w:rsidRDefault="00381389" w:rsidP="00827A99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gestational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age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weeks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3196" w14:textId="77777777" w:rsidR="00381389" w:rsidRPr="00AD7E7E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39.2 (2.1)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E8F1D3" w14:textId="77777777" w:rsidR="00381389" w:rsidRPr="00AD7E7E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39.3 (2.0)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844678" w14:textId="77777777" w:rsidR="00381389" w:rsidRPr="00AD7E7E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39.4 (1.8)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380B50" w14:textId="77777777" w:rsidR="00381389" w:rsidRPr="00827A99" w:rsidRDefault="00381389" w:rsidP="00827A99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38.4 (2.9)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30673" w14:textId="77777777" w:rsidR="00381389" w:rsidRPr="00AD7E7E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39.0 (2.6)</w:t>
            </w:r>
          </w:p>
        </w:tc>
      </w:tr>
      <w:tr w:rsidR="00381389" w:rsidRPr="007C36E1" w14:paraId="6A674327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right w:val="single" w:sz="4" w:space="0" w:color="auto"/>
            </w:tcBorders>
          </w:tcPr>
          <w:p w14:paraId="46BFEED9" w14:textId="71F818AE" w:rsidR="00381389" w:rsidRPr="007C36E1" w:rsidRDefault="00381389" w:rsidP="00827A99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Sex</w:t>
            </w:r>
            <w:r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males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3ACAEE" w14:textId="1872CCD0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992 (52%)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687ECF9" w14:textId="0727F353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31 (41%)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67D0899" w14:textId="22AE6DA1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48 (51%)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8FB2E7B" w14:textId="18B06EFD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46 (47%)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4B54D66" w14:textId="439EADE9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 (36%)</w:t>
            </w:r>
          </w:p>
        </w:tc>
      </w:tr>
      <w:tr w:rsidR="00381389" w:rsidRPr="007C36E1" w14:paraId="74A95D1C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ADD7" w14:textId="77777777" w:rsidR="00381389" w:rsidRPr="007C36E1" w:rsidRDefault="00381389" w:rsidP="00827A99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low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(&lt;2'500g)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D30B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157 (8%)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2020D8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11 (15%)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67F1A6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7 (7%)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B0CFE4" w14:textId="77777777" w:rsidR="00381389" w:rsidRPr="00827A99" w:rsidRDefault="00381389" w:rsidP="00827A99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18 (18%)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36A6CA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 (14%)</w:t>
            </w:r>
          </w:p>
        </w:tc>
      </w:tr>
      <w:tr w:rsidR="00381389" w:rsidRPr="007C36E1" w14:paraId="150CA218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F130" w14:textId="77777777" w:rsidR="00381389" w:rsidRPr="007C36E1" w:rsidRDefault="00381389" w:rsidP="00827A99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preterm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(&lt;37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weeks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7537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153 (8%)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B769FD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 (7%)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942519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7 (7%)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B7D5F4" w14:textId="77777777" w:rsidR="00381389" w:rsidRPr="00827A99" w:rsidRDefault="00381389" w:rsidP="00827A99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18 (18%)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AFB701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 (21%)</w:t>
            </w:r>
          </w:p>
        </w:tc>
      </w:tr>
      <w:tr w:rsidR="00381389" w:rsidRPr="007C36E1" w14:paraId="23ADA15B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2872" w14:textId="77777777" w:rsidR="00381389" w:rsidRPr="007C36E1" w:rsidRDefault="00381389" w:rsidP="00827A99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stillbirth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59F6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80 (4%)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3EDCDA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 (1%)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DD897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 (2%)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2E7C4" w14:textId="77777777" w:rsidR="00381389" w:rsidRPr="00827A99" w:rsidRDefault="00381389" w:rsidP="00827A99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9 (9%)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34E7CE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0 (0%)</w:t>
            </w:r>
          </w:p>
        </w:tc>
      </w:tr>
      <w:tr w:rsidR="00381389" w:rsidRPr="007C36E1" w14:paraId="6BB8DC9A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right w:val="single" w:sz="4" w:space="0" w:color="auto"/>
            </w:tcBorders>
          </w:tcPr>
          <w:p w14:paraId="5713D987" w14:textId="77777777" w:rsidR="00381389" w:rsidRPr="007C36E1" w:rsidRDefault="00381389" w:rsidP="00827A99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 xml:space="preserve">neonatal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mortality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d1-5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8CF619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37 (2%)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DC9DFB1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836E10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 (2%)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14B0CFB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 (4%)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AA7356A" w14:textId="77777777" w:rsidR="00381389" w:rsidRPr="007C36E1" w:rsidRDefault="00381389" w:rsidP="00827A99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0 (0%)</w:t>
            </w:r>
          </w:p>
        </w:tc>
      </w:tr>
      <w:tr w:rsidR="00381389" w:rsidRPr="007C36E1" w14:paraId="29E601F4" w14:textId="77777777" w:rsidTr="00381389">
        <w:trPr>
          <w:gridAfter w:val="4"/>
          <w:wAfter w:w="4768" w:type="dxa"/>
          <w:cantSplit/>
          <w:jc w:val="center"/>
        </w:trPr>
        <w:tc>
          <w:tcPr>
            <w:tcW w:w="1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3E985" w14:textId="77777777" w:rsidR="00381389" w:rsidRPr="007C36E1" w:rsidRDefault="00381389" w:rsidP="00827A99">
            <w:pPr>
              <w:keepNext/>
              <w:spacing w:after="60"/>
              <w:rPr>
                <w:rFonts w:ascii="Calibri" w:hAnsi="Calibri"/>
                <w:i/>
                <w:sz w:val="16"/>
                <w:szCs w:val="16"/>
                <w:vertAlign w:val="superscript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26A9D" w14:textId="77777777" w:rsidR="00381389" w:rsidRPr="007C36E1" w:rsidRDefault="00381389" w:rsidP="00827A99">
            <w:pPr>
              <w:keepNext/>
              <w:spacing w:after="60"/>
              <w:rPr>
                <w:rFonts w:ascii="Calibri" w:hAnsi="Calibri"/>
                <w:i/>
                <w:sz w:val="16"/>
                <w:szCs w:val="16"/>
                <w:vertAlign w:val="superscript"/>
              </w:rPr>
            </w:pPr>
          </w:p>
        </w:tc>
      </w:tr>
      <w:bookmarkEnd w:id="0"/>
      <w:tr w:rsidR="00381389" w:rsidRPr="007C36E1" w14:paraId="21373D73" w14:textId="77777777" w:rsidTr="00381389">
        <w:trPr>
          <w:cantSplit/>
          <w:tblHeader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5F8C" w14:textId="77777777" w:rsidR="00381389" w:rsidRPr="007C36E1" w:rsidRDefault="00381389" w:rsidP="004D59C5">
            <w:pPr>
              <w:keepNext/>
              <w:spacing w:after="60"/>
              <w:jc w:val="right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ILI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exposure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3947" w14:textId="77777777" w:rsidR="00381389" w:rsidRPr="007C36E1" w:rsidRDefault="00381389" w:rsidP="004D59C5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not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exposed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D779" w14:textId="77777777" w:rsidR="00381389" w:rsidRPr="007C36E1" w:rsidRDefault="00381389" w:rsidP="004D59C5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b/>
                <w:sz w:val="16"/>
                <w:szCs w:val="16"/>
              </w:rPr>
              <w:t>first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A322" w14:textId="77777777" w:rsidR="00381389" w:rsidRPr="007C36E1" w:rsidRDefault="00381389" w:rsidP="004D59C5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b/>
                <w:sz w:val="16"/>
                <w:szCs w:val="16"/>
              </w:rPr>
              <w:t>second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CBC" w14:textId="77777777" w:rsidR="00381389" w:rsidRPr="007C36E1" w:rsidRDefault="00381389" w:rsidP="004D59C5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b/>
                <w:sz w:val="16"/>
                <w:szCs w:val="16"/>
              </w:rPr>
              <w:t>third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45D2B" w14:textId="77777777" w:rsidR="00381389" w:rsidRPr="007C36E1" w:rsidRDefault="00381389" w:rsidP="004D59C5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b/>
                <w:sz w:val="16"/>
                <w:szCs w:val="16"/>
              </w:rPr>
              <w:t>unknown</w:t>
            </w:r>
            <w:proofErr w:type="spellEnd"/>
          </w:p>
        </w:tc>
      </w:tr>
      <w:tr w:rsidR="00381389" w:rsidRPr="007C36E1" w14:paraId="55C64FEA" w14:textId="77777777" w:rsidTr="00381389">
        <w:trPr>
          <w:cantSplit/>
          <w:tblHeader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1DF2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b/>
                <w:sz w:val="16"/>
                <w:szCs w:val="16"/>
              </w:rPr>
              <w:t>Variable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BD75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1,895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1B0499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75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5732CF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hAnsi="Calibri"/>
                <w:sz w:val="16"/>
                <w:szCs w:val="16"/>
              </w:rPr>
              <w:t>9</w:t>
            </w:r>
            <w:r w:rsidRPr="007C36E1">
              <w:rPr>
                <w:rFonts w:ascii="Calibri" w:hAnsi="Calibri"/>
                <w:sz w:val="16"/>
                <w:szCs w:val="16"/>
              </w:rPr>
              <w:t>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02235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98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676623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14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</w:tr>
      <w:tr w:rsidR="00381389" w:rsidRPr="007C36E1" w14:paraId="32659D05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9FF2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(g)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DBE2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3,203.5 (562.4)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084631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3,077.3 (576.3)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C30A31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3,200.2 (538.5)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F8C6C3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2,969.3 (630.0)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B443C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3,114.3 (541.2)</w:t>
            </w:r>
          </w:p>
        </w:tc>
      </w:tr>
      <w:tr w:rsidR="00381389" w:rsidRPr="007C36E1" w14:paraId="31CE4086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9FE1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head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circumference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(cm)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7D7D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34.4 (1.8)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1FCE6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34.2 (1.8)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A6FB17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34.4 (2.0)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B17C75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33.8 (2.0)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B02D7E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33.8 (1.6)</w:t>
            </w:r>
          </w:p>
        </w:tc>
      </w:tr>
      <w:tr w:rsidR="00381389" w:rsidRPr="007C36E1" w14:paraId="4AFB0F66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10FF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placenta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(g)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E8F1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586.6 (119.2)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AB4B61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573.3 (107.9)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B734C3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565.3 (106.1)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FCF665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521.5 (101.9)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3EDEEE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521.4 (111.1)</w:t>
            </w:r>
          </w:p>
        </w:tc>
      </w:tr>
      <w:tr w:rsidR="00381389" w:rsidRPr="007C36E1" w14:paraId="1E9A337D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AC13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length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(cm)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1D96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49.1 (2.7)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3BE4F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48.5 (2.6)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E0D6E2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49.4 (2.5)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1CE954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48.2 (3.6)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6AC1D0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48.4 (2.9)</w:t>
            </w:r>
          </w:p>
        </w:tc>
      </w:tr>
      <w:tr w:rsidR="00381389" w:rsidRPr="007C36E1" w14:paraId="67131E47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D9B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ponderal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index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E9D2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2.7 (0.3)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ECCDD7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2.7 (0.3)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7091A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2.6 (0.2)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EF3536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2.6 (0.3)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11C9A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2.7 (0.3)</w:t>
            </w:r>
          </w:p>
        </w:tc>
      </w:tr>
      <w:tr w:rsidR="00381389" w:rsidRPr="007C36E1" w14:paraId="00953463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7DEE" w14:textId="77777777" w:rsidR="00381389" w:rsidRPr="007C36E1" w:rsidRDefault="00381389" w:rsidP="004D59C5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gestational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age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weeks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0221" w14:textId="77777777" w:rsidR="00381389" w:rsidRPr="00AD7E7E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39.2 (2.1)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3F90B1" w14:textId="77777777" w:rsidR="00381389" w:rsidRPr="00AD7E7E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39.3 (2.0)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901E79" w14:textId="77777777" w:rsidR="00381389" w:rsidRPr="00AD7E7E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39.4 (1.8)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A89905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38.4 (2.9)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0D0BF" w14:textId="77777777" w:rsidR="00381389" w:rsidRPr="00AD7E7E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39.0 (2.6)</w:t>
            </w:r>
          </w:p>
        </w:tc>
      </w:tr>
      <w:tr w:rsidR="00381389" w:rsidRPr="007C36E1" w14:paraId="3289A4C0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right w:val="single" w:sz="4" w:space="0" w:color="auto"/>
            </w:tcBorders>
          </w:tcPr>
          <w:p w14:paraId="77077D53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Sex</w:t>
            </w:r>
            <w:r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males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FBE4E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992 (52%)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514A3F4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31 (41%)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9E0C4A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48 (51%)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7B0F1F2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46 (47%)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FCACF90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 (36%)</w:t>
            </w:r>
          </w:p>
        </w:tc>
      </w:tr>
      <w:tr w:rsidR="00381389" w:rsidRPr="007C36E1" w14:paraId="24D71921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20A1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low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(&lt;2'500g)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BA3F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157 (8%)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37E319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11 (15%)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D559F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7 (7%)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65DAEA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18 (18%)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24838A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 (14%)</w:t>
            </w:r>
          </w:p>
        </w:tc>
      </w:tr>
      <w:tr w:rsidR="00381389" w:rsidRPr="007C36E1" w14:paraId="7350CF99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D237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preterm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(&lt;37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weeks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6FE7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153 (8%)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8DEEB9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 (7%)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A16496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7 (7%)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D0C624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18 (18%)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1AB9A5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 (21%)</w:t>
            </w:r>
          </w:p>
        </w:tc>
      </w:tr>
      <w:tr w:rsidR="00381389" w:rsidRPr="007C36E1" w14:paraId="306A4716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068E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stillbirth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7E07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80 (4%)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98C9E7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 (1%)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78189C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 (2%)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6C404B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9 (9%)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113D53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0 (0%)</w:t>
            </w:r>
          </w:p>
        </w:tc>
      </w:tr>
      <w:tr w:rsidR="00381389" w:rsidRPr="007C36E1" w14:paraId="7DD4DD9E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right w:val="single" w:sz="4" w:space="0" w:color="auto"/>
            </w:tcBorders>
          </w:tcPr>
          <w:p w14:paraId="7835D7BB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 xml:space="preserve">neonatal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mortality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d1-5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A20603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37 (2%)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6CD7C48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7139C7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 (2%)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69A91A6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 (4%)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6E0EC46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0 (0%)</w:t>
            </w:r>
          </w:p>
        </w:tc>
      </w:tr>
      <w:tr w:rsidR="00381389" w:rsidRPr="007C36E1" w14:paraId="7C40F746" w14:textId="77777777" w:rsidTr="00381389">
        <w:trPr>
          <w:gridAfter w:val="4"/>
          <w:wAfter w:w="4768" w:type="dxa"/>
          <w:cantSplit/>
          <w:jc w:val="center"/>
        </w:trPr>
        <w:tc>
          <w:tcPr>
            <w:tcW w:w="1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46EC55" w14:textId="77777777" w:rsidR="00381389" w:rsidRPr="007C36E1" w:rsidRDefault="00381389" w:rsidP="004D59C5">
            <w:pPr>
              <w:keepNext/>
              <w:spacing w:after="60"/>
              <w:rPr>
                <w:rFonts w:ascii="Calibri" w:hAnsi="Calibri"/>
                <w:i/>
                <w:sz w:val="16"/>
                <w:szCs w:val="16"/>
                <w:vertAlign w:val="superscript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5757C" w14:textId="77777777" w:rsidR="00381389" w:rsidRPr="007C36E1" w:rsidRDefault="00381389" w:rsidP="004D59C5">
            <w:pPr>
              <w:keepNext/>
              <w:spacing w:after="60"/>
              <w:rPr>
                <w:rFonts w:ascii="Calibri" w:hAnsi="Calibri"/>
                <w:i/>
                <w:sz w:val="16"/>
                <w:szCs w:val="16"/>
                <w:vertAlign w:val="superscript"/>
              </w:rPr>
            </w:pPr>
          </w:p>
        </w:tc>
      </w:tr>
    </w:tbl>
    <w:p w14:paraId="32DD0B31" w14:textId="77777777" w:rsidR="009C431F" w:rsidRDefault="009C431F"/>
    <w:p w14:paraId="3E93A3E4" w14:textId="77777777" w:rsidR="00381389" w:rsidRDefault="00381389"/>
    <w:p w14:paraId="33A1E5F8" w14:textId="77777777" w:rsidR="00381389" w:rsidRDefault="00381389"/>
    <w:p w14:paraId="4FDF75D4" w14:textId="77777777" w:rsidR="00381389" w:rsidRDefault="00381389"/>
    <w:p w14:paraId="166B520F" w14:textId="77777777" w:rsidR="00381389" w:rsidRDefault="00381389"/>
    <w:tbl>
      <w:tblPr>
        <w:tblStyle w:val="Table1"/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95"/>
        <w:gridCol w:w="1190"/>
        <w:gridCol w:w="1190"/>
        <w:gridCol w:w="1190"/>
        <w:gridCol w:w="1198"/>
        <w:gridCol w:w="1190"/>
      </w:tblGrid>
      <w:tr w:rsidR="00381389" w:rsidRPr="007C36E1" w14:paraId="22B7799F" w14:textId="77777777" w:rsidTr="004D59C5">
        <w:trPr>
          <w:cantSplit/>
          <w:tblHeader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AB0E" w14:textId="77777777" w:rsidR="00381389" w:rsidRPr="007C36E1" w:rsidRDefault="00381389" w:rsidP="004D59C5">
            <w:pPr>
              <w:keepNext/>
              <w:spacing w:after="60"/>
              <w:jc w:val="right"/>
              <w:rPr>
                <w:rFonts w:ascii="Calibri" w:hAnsi="Calibri"/>
                <w:b/>
                <w:sz w:val="16"/>
                <w:szCs w:val="16"/>
              </w:rPr>
            </w:pPr>
            <w:bookmarkStart w:id="1" w:name="_Hlk202021193"/>
            <w:r>
              <w:rPr>
                <w:rFonts w:ascii="Calibri" w:hAnsi="Calibri"/>
                <w:b/>
                <w:sz w:val="16"/>
                <w:szCs w:val="16"/>
              </w:rPr>
              <w:lastRenderedPageBreak/>
              <w:t xml:space="preserve">ILI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exposure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0C28" w14:textId="77777777" w:rsidR="00381389" w:rsidRPr="007C36E1" w:rsidRDefault="00381389" w:rsidP="004D59C5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not </w:t>
            </w: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exposed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2CBB" w14:textId="77777777" w:rsidR="00381389" w:rsidRPr="007C36E1" w:rsidRDefault="00381389" w:rsidP="004D59C5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b/>
                <w:sz w:val="16"/>
                <w:szCs w:val="16"/>
              </w:rPr>
              <w:t>first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BF61" w14:textId="77777777" w:rsidR="00381389" w:rsidRPr="007C36E1" w:rsidRDefault="00381389" w:rsidP="004D59C5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b/>
                <w:sz w:val="16"/>
                <w:szCs w:val="16"/>
              </w:rPr>
              <w:t>second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9D9E" w14:textId="77777777" w:rsidR="00381389" w:rsidRPr="007C36E1" w:rsidRDefault="00381389" w:rsidP="004D59C5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b/>
                <w:sz w:val="16"/>
                <w:szCs w:val="16"/>
              </w:rPr>
              <w:t>third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8984C6" w14:textId="77777777" w:rsidR="00381389" w:rsidRPr="007C36E1" w:rsidRDefault="00381389" w:rsidP="004D59C5">
            <w:pPr>
              <w:keepNext/>
              <w:spacing w:after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b/>
                <w:sz w:val="16"/>
                <w:szCs w:val="16"/>
              </w:rPr>
              <w:t>unknown</w:t>
            </w:r>
            <w:proofErr w:type="spellEnd"/>
          </w:p>
        </w:tc>
      </w:tr>
      <w:tr w:rsidR="00381389" w:rsidRPr="007C36E1" w14:paraId="0E1F46E0" w14:textId="77777777" w:rsidTr="004D59C5">
        <w:trPr>
          <w:cantSplit/>
          <w:tblHeader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8C7E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b/>
                <w:sz w:val="16"/>
                <w:szCs w:val="16"/>
              </w:rPr>
              <w:t>Variable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C5C4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1,895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AAE41D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75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FE2CA9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</w:t>
            </w:r>
            <w:r>
              <w:rPr>
                <w:rFonts w:ascii="Calibri" w:hAnsi="Calibri"/>
                <w:sz w:val="16"/>
                <w:szCs w:val="16"/>
              </w:rPr>
              <w:t>9</w:t>
            </w:r>
            <w:r w:rsidRPr="007C36E1">
              <w:rPr>
                <w:rFonts w:ascii="Calibri" w:hAnsi="Calibri"/>
                <w:sz w:val="16"/>
                <w:szCs w:val="16"/>
              </w:rPr>
              <w:t>5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4409C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98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2F8C1E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n</w:t>
            </w:r>
            <w:r w:rsidRPr="007C36E1">
              <w:rPr>
                <w:rFonts w:ascii="Calibri" w:hAnsi="Calibri"/>
                <w:sz w:val="16"/>
                <w:szCs w:val="16"/>
              </w:rPr>
              <w:t xml:space="preserve"> = 14</w:t>
            </w:r>
            <w:r w:rsidRPr="007C36E1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</w:tr>
      <w:tr w:rsidR="00381389" w:rsidRPr="007C36E1" w14:paraId="372C0B75" w14:textId="77777777" w:rsidTr="004D59C5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A91C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(g)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77AE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3,203.5 (562.4)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2E2640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3,077.3 (576.3)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7E4F80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3,200.2 (538.5)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BCAAB5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2,969.3 (630.0)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EDA6FE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3,114.3 (541.2)</w:t>
            </w:r>
          </w:p>
        </w:tc>
      </w:tr>
      <w:tr w:rsidR="00381389" w:rsidRPr="007C36E1" w14:paraId="78E3249D" w14:textId="77777777" w:rsidTr="004D59C5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4F49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head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circumference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(cm)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DCE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34.4 (1.8)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1D4351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34.2 (1.8)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AC6174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34.4 (2.0)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236F9D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33.8 (2.0)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7DB706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33.8 (1.6)</w:t>
            </w:r>
          </w:p>
        </w:tc>
      </w:tr>
      <w:tr w:rsidR="00381389" w:rsidRPr="007C36E1" w14:paraId="5061DACA" w14:textId="77777777" w:rsidTr="004D59C5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8728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placenta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(g)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E791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586.6 (119.2)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B97DF1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573.3 (107.9)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215F57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565.3 (106.1)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536FCF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521.5 (101.9)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F544ED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521.4 (111.1)</w:t>
            </w:r>
          </w:p>
        </w:tc>
      </w:tr>
      <w:tr w:rsidR="00381389" w:rsidRPr="007C36E1" w14:paraId="50738EB0" w14:textId="77777777" w:rsidTr="004D59C5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550B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length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(cm)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62C8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49.1 (2.7)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84800E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48.5 (2.6)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31540E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49.4 (2.5)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72750D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48.2 (3.6)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015700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48.4 (2.9)</w:t>
            </w:r>
          </w:p>
        </w:tc>
      </w:tr>
      <w:tr w:rsidR="00381389" w:rsidRPr="007C36E1" w14:paraId="00E5A909" w14:textId="77777777" w:rsidTr="004D59C5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128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ponderal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index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B8F6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2.7 (0.3)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C391E7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2.7 (0.3)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13145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2.6 (0.2)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8C02B4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2.6 (0.3)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5076AD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2.7 (0.3)</w:t>
            </w:r>
          </w:p>
        </w:tc>
      </w:tr>
      <w:tr w:rsidR="00381389" w:rsidRPr="00AD7E7E" w14:paraId="147B862C" w14:textId="77777777" w:rsidTr="004D59C5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7E1D" w14:textId="77777777" w:rsidR="00381389" w:rsidRPr="007C36E1" w:rsidRDefault="00381389" w:rsidP="004D59C5">
            <w:pPr>
              <w:keepNext/>
              <w:spacing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gestational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age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weeks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C8B8" w14:textId="77777777" w:rsidR="00381389" w:rsidRPr="00AD7E7E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39.2 (2.1)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AD2A4B" w14:textId="77777777" w:rsidR="00381389" w:rsidRPr="00AD7E7E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39.3 (2.0)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3C6BF8" w14:textId="77777777" w:rsidR="00381389" w:rsidRPr="00AD7E7E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39.4 (1.8)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06D225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38.4 (2.9)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B8D976" w14:textId="77777777" w:rsidR="00381389" w:rsidRPr="00AD7E7E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D7E7E">
              <w:rPr>
                <w:rFonts w:ascii="Calibri" w:hAnsi="Calibri"/>
                <w:sz w:val="16"/>
                <w:szCs w:val="16"/>
              </w:rPr>
              <w:t>39.0 (2.6)</w:t>
            </w:r>
          </w:p>
        </w:tc>
      </w:tr>
      <w:tr w:rsidR="00381389" w:rsidRPr="007C36E1" w14:paraId="419F3AE2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F4AA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Sex</w:t>
            </w:r>
            <w:r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males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FDD2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992 (52%)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3A0F85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31 (41%)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723DEF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48 (51%)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BE9A6B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46 (47%)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36D53C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 (36%)</w:t>
            </w:r>
          </w:p>
        </w:tc>
      </w:tr>
      <w:tr w:rsidR="00381389" w:rsidRPr="007C36E1" w14:paraId="16D06379" w14:textId="77777777" w:rsidTr="004D59C5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D303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low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weight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(&lt;2'500g)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C493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157 (8%)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D314DE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11 (15%)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D45DD8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7 (7%)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20EF19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18 (18%)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8184CC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 (14%)</w:t>
            </w:r>
          </w:p>
        </w:tc>
      </w:tr>
      <w:tr w:rsidR="00381389" w:rsidRPr="007C36E1" w14:paraId="3304C8BA" w14:textId="77777777" w:rsidTr="004D59C5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D8DF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preterm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birth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(&lt;37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weeks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BA88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153 (8%)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80ACE1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5 (7%)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F36E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7 (7%)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AB8593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18 (18%)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01E3C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 (21%)</w:t>
            </w:r>
          </w:p>
        </w:tc>
      </w:tr>
      <w:tr w:rsidR="00381389" w:rsidRPr="007C36E1" w14:paraId="51690165" w14:textId="77777777" w:rsidTr="004D59C5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54BF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stillbirth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00AC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80 (4%)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E3A5CB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1 (1%)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5C3862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 (2%)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EBE710" w14:textId="77777777" w:rsidR="00381389" w:rsidRPr="00827A99" w:rsidRDefault="00381389" w:rsidP="004D59C5">
            <w:pPr>
              <w:keepNext/>
              <w:spacing w:after="60"/>
              <w:jc w:val="center"/>
              <w:rPr>
                <w:bCs/>
                <w:sz w:val="16"/>
                <w:szCs w:val="16"/>
              </w:rPr>
            </w:pPr>
            <w:r w:rsidRPr="00827A99">
              <w:rPr>
                <w:rFonts w:ascii="Calibri" w:hAnsi="Calibri"/>
                <w:bCs/>
                <w:sz w:val="16"/>
                <w:szCs w:val="16"/>
              </w:rPr>
              <w:t>9 (9%)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0C1407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0 (0%)</w:t>
            </w:r>
          </w:p>
        </w:tc>
      </w:tr>
      <w:tr w:rsidR="00381389" w:rsidRPr="007C36E1" w14:paraId="7C294873" w14:textId="77777777" w:rsidTr="00381389">
        <w:trPr>
          <w:cantSplit/>
          <w:jc w:val="center"/>
        </w:trPr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6A04" w14:textId="77777777" w:rsidR="00381389" w:rsidRPr="007C36E1" w:rsidRDefault="00381389" w:rsidP="004D59C5">
            <w:pPr>
              <w:keepNext/>
              <w:spacing w:after="60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 xml:space="preserve">neonatal </w:t>
            </w:r>
            <w:proofErr w:type="spellStart"/>
            <w:r w:rsidRPr="007C36E1">
              <w:rPr>
                <w:rFonts w:ascii="Calibri" w:hAnsi="Calibri"/>
                <w:sz w:val="16"/>
                <w:szCs w:val="16"/>
              </w:rPr>
              <w:t>mortality</w:t>
            </w:r>
            <w:proofErr w:type="spellEnd"/>
            <w:r w:rsidRPr="007C36E1">
              <w:rPr>
                <w:rFonts w:ascii="Calibri" w:hAnsi="Calibri"/>
                <w:sz w:val="16"/>
                <w:szCs w:val="16"/>
              </w:rPr>
              <w:t xml:space="preserve"> d1-5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EBA0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37 (2%)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0E409B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0 (0%)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127DD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2 (2%)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F333E8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4 (4%)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1B3767" w14:textId="77777777" w:rsidR="00381389" w:rsidRPr="007C36E1" w:rsidRDefault="00381389" w:rsidP="004D59C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36E1">
              <w:rPr>
                <w:rFonts w:ascii="Calibri" w:hAnsi="Calibri"/>
                <w:sz w:val="16"/>
                <w:szCs w:val="16"/>
              </w:rPr>
              <w:t>0 (0%)</w:t>
            </w:r>
          </w:p>
        </w:tc>
      </w:tr>
      <w:bookmarkEnd w:id="1"/>
    </w:tbl>
    <w:p w14:paraId="2CAAD283" w14:textId="77777777" w:rsidR="00381389" w:rsidRDefault="00381389"/>
    <w:sectPr w:rsidR="00381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19"/>
    <w:rsid w:val="00024719"/>
    <w:rsid w:val="00123F76"/>
    <w:rsid w:val="001A5A4B"/>
    <w:rsid w:val="00381389"/>
    <w:rsid w:val="00633872"/>
    <w:rsid w:val="00827A99"/>
    <w:rsid w:val="009C431F"/>
    <w:rsid w:val="00D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EA1F"/>
  <w15:chartTrackingRefBased/>
  <w15:docId w15:val="{6766C6FC-1CF6-4B91-8885-CFD0D44E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4B"/>
    <w:pPr>
      <w:spacing w:line="259" w:lineRule="auto"/>
    </w:pPr>
    <w:rPr>
      <w:kern w:val="0"/>
      <w:sz w:val="22"/>
      <w:szCs w:val="22"/>
      <w:lang w:val="de-C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247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47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471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471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471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471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471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471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471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4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4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4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47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47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47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47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47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47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4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02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471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024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471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0247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4719"/>
    <w:pPr>
      <w:spacing w:line="278" w:lineRule="auto"/>
      <w:ind w:left="720"/>
      <w:contextualSpacing/>
    </w:pPr>
    <w:rPr>
      <w:kern w:val="2"/>
      <w:sz w:val="24"/>
      <w:szCs w:val="24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0247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4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47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4719"/>
    <w:rPr>
      <w:b/>
      <w:bCs/>
      <w:smallCaps/>
      <w:color w:val="0F4761" w:themeColor="accent1" w:themeShade="BF"/>
      <w:spacing w:val="5"/>
    </w:rPr>
  </w:style>
  <w:style w:type="table" w:customStyle="1" w:styleId="Table1">
    <w:name w:val="Table1"/>
    <w:semiHidden/>
    <w:unhideWhenUsed/>
    <w:qFormat/>
    <w:rsid w:val="001A5A4B"/>
    <w:pPr>
      <w:spacing w:after="200" w:line="240" w:lineRule="auto"/>
    </w:pPr>
    <w:rPr>
      <w:kern w:val="0"/>
      <w:sz w:val="20"/>
      <w:szCs w:val="20"/>
      <w:lang w:val="en-US" w:eastAsia="de-CH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Le Vu</dc:creator>
  <cp:keywords/>
  <dc:description/>
  <cp:lastModifiedBy>Mathilde Le Vu</cp:lastModifiedBy>
  <cp:revision>4</cp:revision>
  <dcterms:created xsi:type="dcterms:W3CDTF">2025-05-14T16:41:00Z</dcterms:created>
  <dcterms:modified xsi:type="dcterms:W3CDTF">2025-06-28T14:40:00Z</dcterms:modified>
</cp:coreProperties>
</file>