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Variable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third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98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not infected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1,895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Difference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maternal age (years)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28.3 (5.9)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28.5 (6.2)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-1.5, 0.98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height (cm)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156.0 (7.3)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156.4 (6.5)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-1.9, 1.1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civil_status_cat2_mar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89 (91%)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1,668 (88%)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-3.6%, 9.2%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parity_cat2_1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 (32%)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758 (40%)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-8.4%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-18%, 1.6%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parity_cat2_2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 (27%)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413 (22%)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-4.7%, 14%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parity_cat2_more2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41 (42%)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724 (38%)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-6.9%, 14%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Lausanne_NEU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47 (48%)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851 (45%)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-7.6%, 14%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morphology_neit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92 (94%)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1,770 (93%)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-4.9%, 5.8%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morphology_ob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72 (4%)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-5.2%, 1.7%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morphology_th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53 (3%)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-3.2%, 5.8%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Goitre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106 (6%)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-4.9%, 5.9%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rickets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76 (4%)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-0.95%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-5.0%, 3.1%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Syphilis_2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 (1%)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-2.1%, -0.06%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Mother_deceased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-1.3%, 6.6%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hisco_class_3_2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86 (88%)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1,627 (86%)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-5.3%, 9.1%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hisco_class_3_1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112 (6%)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-4.9%, 5.3%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hisco_class_3_3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 (2%)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-0.77%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-3.4%, 1.8%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hisco_class_3_mis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122 (6%)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-6.4%, 3.7%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season_sp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 (23%)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344 (18%)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-3.8%, 14%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season_su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 (10%)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502 (26%)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-23%, -9.4%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season_au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 (24%)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628 (33%)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-8.7%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-18%, 0.66%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season_wi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41 (42%)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421 (22%)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9.1%, 30%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gridSpan w:val="6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Mean (SD); n (%)</w:t>
            </w:r>
          </w:p>
        </w:tc>
      </w:tr>
      <w:tr>
        <w:trPr>
          <w:cantSplit/>
        </w:trPr>
        <w:tc>
          <w:tcPr>
            <w:gridSpan w:val="6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  <w:r>
              <w:rPr>
                <w:rFonts w:ascii="Calibri" w:hAnsi="Calibri"/>
                <w:sz w:val="20"/>
              </w:rPr>
              <w:t xml:space="default">Welch Two Sample t-test; 2-sample test for equality of proportions with continuity correction</w:t>
            </w:r>
          </w:p>
        </w:tc>
      </w:tr>
      <w:tr>
        <w:trPr>
          <w:cantSplit/>
        </w:trPr>
        <w:tc>
          <w:tcPr>
            <w:gridSpan w:val="6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Abbreviation: CI = Confidence Interval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2025-07-03T12:43:20Z</dcterms:created>
  <dcterms:modified xsi:type="dcterms:W3CDTF">2025-07-03T12:43:20Z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