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color w:val="176F8B"/>
          <w:sz w:val="18"/>
        </w:rPr>
        <w:t>HUMAN-IN-THE-LOOP BAYESIAN OPTIMISATION · WEEKLY REPORT</w:t>
      </w:r>
    </w:p>
    <w:p>
      <w:pPr>
        <w:pStyle w:val="Title"/>
      </w:pPr>
      <w:r>
        <w:t>Week of 7–13 September 2026</w:t>
      </w:r>
    </w:p>
    <w:p>
      <w:pPr>
        <w:spacing w:after="160"/>
      </w:pPr>
      <w:r>
        <w:rPr>
          <w:color w:val="5A6876"/>
          <w:sz w:val="18"/>
        </w:rPr>
        <w:t>CiTOS, ULiège · REACTO branch hitl-bench · M. Croissant · 14 September 2026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Key number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benchmarks kept out of 12 grids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65 · 25 · 50 %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plain-BO failure rate, 20 seeds (Suzuki II · I · arylation)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+1.3 pt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gain of a random point at the alerts — the null model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 page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REACTO /hitl-live, ready for the chemists</w:t>
            </w:r>
          </w:p>
        </w:tc>
      </w:tr>
    </w:tbl>
    <w:p>
      <w:pPr>
        <w:spacing w:after="0"/>
      </w:pPr>
    </w:p>
    <w:p>
      <w:pPr>
        <w:pStyle w:val="Heading1"/>
      </w:pPr>
      <w:r>
        <w:t>The week at a glance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Day</w:t>
            </w:r>
          </w:p>
        </w:tc>
        <w:tc>
          <w:tcPr>
            <w:tcW w:type="dxa" w:w="7654"/>
          </w:tcPr>
          <w:p>
            <w:r/>
            <w:r>
              <w:rPr>
                <w:b/>
                <w:sz w:val="18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Mon 7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Study moved into the REACTO repository; Olympus dropped; grids verified; campaign core written.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Tue 8 – Wed 9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Trigger candidates measured; nine more reaction grids screened overnight; the three reactions chosen.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Thu 10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Provenance verified by script; trigger frozen; three-arm design; non-reproducibility found and fixed.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Thu 10 – Fri 11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Reproducibility verified; control and random arms computed; figures; live page built.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Sat 12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Initial design shown to decide the outcome; seeds assigned; page verified in the browser, put in English, chemistry added; owner's trial run.</w:t>
            </w:r>
          </w:p>
        </w:tc>
      </w:tr>
    </w:tbl>
    <w:p>
      <w:pPr>
        <w:spacing w:after="0"/>
      </w:pPr>
    </w:p>
    <w:p>
      <w:pPr>
        <w:pStyle w:val="Heading1"/>
      </w:pPr>
      <w:r>
        <w:t>1 · One repository, one optimiser</w:t>
      </w:r>
    </w:p>
    <w:p>
      <w:pPr>
        <w:spacing w:after="120"/>
      </w:pPr>
      <w:r>
        <w:t>The benchmark used to live in a standalone folder with its own copy of the optimisation code, a patched Olympus and a broken Python environment. On Monday it moved into REACTO itself (</w:t>
      </w:r>
      <w:r>
        <w:rPr>
          <w:rFonts w:ascii="Consolas" w:hAnsi="Consolas"/>
          <w:sz w:val="19"/>
        </w:rPr>
        <w:t>hitl_bench/</w:t>
      </w:r>
      <w:r>
        <w:t xml:space="preserve">, branch </w:t>
      </w:r>
      <w:r>
        <w:rPr>
          <w:rFonts w:ascii="Consolas" w:hAnsi="Consolas"/>
          <w:sz w:val="19"/>
        </w:rPr>
        <w:t>hitl-bench</w:t>
      </w:r>
      <w:r>
        <w:t xml:space="preserve"> of github.com/Mathildec25/dash-chem) and now </w:t>
      </w:r>
      <w:r>
        <w:rPr>
          <w:b/>
        </w:rPr>
        <w:t>imports REACTO's own `bayesian_optimization()`</w:t>
      </w:r>
      <w:r>
        <w:t>: the in-silico study tests the tool that will run the real campaigns. Olympus is out — the Minerva grids already carry the objectives — so one venv reproduces everything. Input grids are versioned, results and chemists' files are ignored. The old folder was emptied; every commit is pushed the day it is made.</w:t>
      </w:r>
    </w:p>
    <w:p>
      <w:pPr>
        <w:pStyle w:val="Heading1"/>
      </w:pPr>
      <w:r>
        <w:t>2 · Benchmarks</w:t>
      </w:r>
    </w:p>
    <w:p>
      <w:pPr>
        <w:spacing w:after="120"/>
      </w:pPr>
      <w:r>
        <w:t xml:space="preserve">A usable benchmark is a </w:t>
      </w:r>
      <w:r>
        <w:rPr>
          <w:b/>
        </w:rPr>
        <w:t>complete grid</w:t>
      </w:r>
      <w:r>
        <w:t xml:space="preserve"> (exact front, decimal-level reproducibility) with </w:t>
      </w:r>
      <w:r>
        <w:rPr>
          <w:b/>
        </w:rPr>
        <w:t>named reagents</w:t>
      </w:r>
      <w:r>
        <w:t xml:space="preserve"> and </w:t>
      </w:r>
      <w:r>
        <w:rPr>
          <w:b/>
        </w:rPr>
        <w:t>room for a chemist to change the outcome</w:t>
      </w:r>
      <w:r>
        <w:t>, read as the spread between seeds. Twelve grids were screened; three are kept.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7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5A6876"/>
          <w:sz w:val="18"/>
        </w:rPr>
        <w:t>Spread between the worst and best plain-BO campaign, points of the global front (3–5 seeds).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Benchmark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Points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Objectives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Nature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Suzuki I, II (III, IV blind)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Reizman et al. 2016 → Olympus emulators → Minerva grids, verbatim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5,670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yield, TON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emulated, noiseless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C–H arylation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Shields et al. 2021 (reaction 3) + cost from Torres et al. 2022 (EDBO+); identical row for row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1,728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yield, reagent cost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measured, single runs</w:t>
            </w:r>
          </w:p>
        </w:tc>
      </w:tr>
    </w:tbl>
    <w:p>
      <w:pPr>
        <w:spacing w:after="0"/>
      </w:pPr>
    </w:p>
    <w:p>
      <w:pPr>
        <w:spacing w:after="120"/>
      </w:pPr>
      <w:r>
        <w:t xml:space="preserve">Two facts that shape the reading: Summit's independent emulators put the Suzuki front on the </w:t>
      </w:r>
      <w:r>
        <w:rPr>
          <w:b/>
        </w:rPr>
        <w:t>same catalyst</w:t>
      </w:r>
      <w:r>
        <w:t xml:space="preserve"> as Olympus in all four cases (PCy3 for case II, as in the paper); and the arylation has </w:t>
      </w:r>
      <w:r>
        <w:rPr>
          <w:b/>
        </w:rPr>
        <w:t>tied acquisition values</w:t>
      </w:r>
      <w:r>
        <w:t xml:space="preserve"> (175 of 1,698 candidates at experiment 30), so an unaided campaign ends as an alphabetical sweep. Suzuki has no ties.</w:t>
      </w:r>
    </w:p>
    <w:p>
      <w:pPr>
        <w:pStyle w:val="Heading1"/>
      </w:pPr>
      <w:r>
        <w:t>3 · Plain BO fails often enough to study</w:t>
      </w:r>
    </w:p>
    <w:p>
      <w:pPr>
        <w:spacing w:after="120"/>
      </w:pPr>
      <w:r>
        <w:t xml:space="preserve">Twenty replayable controls per benchmark (10 LHS + 30 qLogNEHVI steps). Trapped, i.e. below 90 % of the front: </w:t>
      </w:r>
      <w:r>
        <w:rPr>
          <w:b/>
        </w:rPr>
        <w:t>13/20 on Suzuki II</w:t>
      </w:r>
      <w:r>
        <w:t xml:space="preserve"> (PCy3 drawn at 0 % yield in the initial design, never revisited), </w:t>
      </w:r>
      <w:r>
        <w:rPr>
          <w:b/>
        </w:rPr>
        <w:t>5/20 on Suzuki I</w:t>
      </w:r>
      <w:r>
        <w:t xml:space="preserve"> (Xantphos dismissed the same way, usually rediscovered too late), </w:t>
      </w:r>
      <w:r>
        <w:rPr>
          <w:b/>
        </w:rPr>
        <w:t>10/20 on the arylation</w:t>
      </w:r>
      <w:r>
        <w:t xml:space="preserve"> (an early good yield, then a plateau).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688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ed_choice_i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68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5A6876"/>
          <w:sz w:val="18"/>
        </w:rPr>
        <w:t>Suzuki II, 20 controls: fraction of the front (orange &lt; 90 %), initial design in grey, trigger alerts in red. Seed 12 is assigned to the chemists.</w:t>
      </w:r>
    </w:p>
    <w:p>
      <w:pPr>
        <w:pStyle w:val="Heading1"/>
      </w:pPr>
      <w:r>
        <w:t>4 · The trigger, frozen</w:t>
      </w:r>
    </w:p>
    <w:p>
      <w:pPr>
        <w:spacing w:after="120"/>
      </w:pPr>
      <w:r>
        <w:rPr>
          <w:b/>
        </w:rPr>
        <w:t>P\* = recent pace / average pace</w:t>
      </w:r>
      <w:r>
        <w:t xml:space="preserve"> (both per experiment), </w:t>
      </w:r>
      <w:r>
        <w:rPr>
          <w:b/>
        </w:rPr>
        <w:t>W = 5, threshold 0.30, cooldown 5, first alert at experiment 15</w:t>
      </w:r>
      <w:r>
        <w:t>, no deadline. P</w:t>
      </w:r>
      <w:r>
        <w:rPr>
          <w:i/>
        </w:rPr>
        <w:t xml:space="preserve"> replaces the original ratio because its threshold does not depend on the budget: P</w:t>
      </w:r>
      <w:r>
        <w:t xml:space="preserve"> is 1 under steady progress at any budget. On 18 case II campaigns it alerts 13 of 13 failures, first alert at 22.6 with 26 % of the final gain still to come, 2.5 solicitations each; the only campaign never interrupted reaches 100 %. It also fires on healthy campaigns: it books an appointment, the chemist diagnoses — hence the three answers </w:t>
      </w:r>
      <w:r>
        <w:rPr>
          <w:i/>
        </w:rPr>
        <w:t>continue / propose / stop</w:t>
      </w:r>
      <w:r>
        <w:t>.</w:t>
      </w:r>
    </w:p>
    <w:p>
      <w:pPr>
        <w:pStyle w:val="Heading1"/>
      </w:pPr>
      <w:r>
        <w:t>5 · Reproducibility</w:t>
      </w:r>
    </w:p>
    <w:p>
      <w:pPr>
        <w:spacing w:after="120"/>
      </w:pPr>
      <w:r>
        <w:t xml:space="preserve">Identical runs diverged from experiment 26: REACTO built the BoFire strategy </w:t>
      </w:r>
      <w:r>
        <w:rPr>
          <w:b/>
        </w:rPr>
        <w:t>without a seed</w:t>
      </w:r>
      <w:r>
        <w:t xml:space="preserve">, and BoFire then draws one from OS entropy at every acquisition step. </w:t>
      </w:r>
      <w:r>
        <w:rPr>
          <w:rFonts w:ascii="Consolas" w:hAnsi="Consolas"/>
          <w:sz w:val="19"/>
        </w:rPr>
        <w:t>bayesian_optimization(..., seed=)</w:t>
      </w:r>
      <w:r>
        <w:t xml:space="preserve"> now passes one (the application is unchanged when it is not given); the bench uses </w:t>
      </w:r>
      <w:r>
        <w:rPr>
          <w:rFonts w:ascii="Consolas" w:hAnsi="Consolas"/>
          <w:sz w:val="19"/>
        </w:rPr>
        <w:t>100000 + 1000·seed + iteration</w:t>
      </w:r>
      <w:r>
        <w:t>. Verified to twelve decimals; a fork without intervention reproduces its parent exactly. Everything was recomputed.</w:t>
      </w:r>
    </w:p>
    <w:p>
      <w:pPr>
        <w:pStyle w:val="Heading1"/>
      </w:pPr>
      <w:r>
        <w:t>6 · The random arm: the null model</w:t>
      </w:r>
    </w:p>
    <w:p>
      <w:pPr>
        <w:spacing w:after="120"/>
      </w:pPr>
      <w:r>
        <w:t xml:space="preserve">Three arms share their history up to the alert: plain BO, a </w:t>
      </w:r>
      <w:r>
        <w:rPr>
          <w:b/>
        </w:rPr>
        <w:t>random</w:t>
      </w:r>
      <w:r>
        <w:t xml:space="preserve"> grid point at every alert, a chemist's point. The injected point replaces the proposal (40 experiments in every arm). On the arylation, 20 controls and 40 branches (130 interventions): </w:t>
      </w:r>
      <w:r>
        <w:rPr>
          <w:b/>
        </w:rPr>
        <w:t>paired gain +1.3 points; 18/40 branches improve, Wilson 95 % [31 %, 60 %]; range −27 to +23; no effect on time to 90 %</w:t>
      </w:r>
      <w:r>
        <w:t xml:space="preserve"> (26.2 vs 26.4). The little gain comes from luck on the ligand: 19 % of injected points hit a front ligand and gained +3.2 vs +0.9.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408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ms_paired_edbo_ch_ary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08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63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ms_effect_edbo_ch_ary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6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5A6876"/>
          <w:sz w:val="18"/>
        </w:rPr>
        <w:t>Left: five arylation campaigns, plain BO (blue) and with a random point at each alert (red). Right: distribution of the paired gain over 40 branches.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9F3F7"/>
          </w:tcPr>
          <w:p>
            <w:r/>
            <w:r>
              <w:rPr>
                <w:b/>
                <w:sz w:val="20"/>
              </w:rPr>
              <w:t xml:space="preserve">Warning. </w:t>
            </w:r>
            <w:r>
              <w:rPr>
                <w:sz w:val="20"/>
              </w:rPr>
              <w:t>The estimate fell from +4.0 (11 branches) to +2.7 (19) to +1.3 (40). A human arm with five chemists is in that regime: compare paired, on the same checkpoints, never on a mean over a dozen answers.</w:t>
            </w:r>
          </w:p>
        </w:tc>
      </w:tr>
    </w:tbl>
    <w:p>
      <w:pPr>
        <w:spacing w:after="0"/>
      </w:pPr>
    </w:p>
    <w:p>
      <w:pPr>
        <w:pStyle w:val="Heading1"/>
      </w:pPr>
      <w:r>
        <w:t>7 · The initial design decides</w:t>
      </w:r>
    </w:p>
    <w:p>
      <w:pPr>
        <w:spacing w:after="120"/>
      </w:pPr>
      <w:r>
        <w:t xml:space="preserve">With the acquisition seedable, one initial design was rerun with four acquisition seeds: arylation seed 2 ends at </w:t>
      </w:r>
      <w:r>
        <w:rPr>
          <w:b/>
        </w:rPr>
        <w:t>72.5 % all four times</w:t>
      </w:r>
      <w:r>
        <w:t xml:space="preserve">, Suzuki II seed 3 at </w:t>
      </w:r>
      <w:r>
        <w:rPr>
          <w:b/>
        </w:rPr>
        <w:t>37.3 % all four times</w:t>
      </w:r>
      <w:r>
        <w:t>. Given this optimiser, the outcome is a function of the ten starting points.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9F3F7"/>
          </w:tcPr>
          <w:p>
            <w:r/>
            <w:r>
              <w:rPr>
                <w:b/>
                <w:sz w:val="20"/>
              </w:rPr>
              <w:t xml:space="preserve">Frame for the article. </w:t>
            </w:r>
            <w:r>
              <w:rPr>
                <w:sz w:val="20"/>
              </w:rPr>
              <w:t>A case study on trapped initial designs: base rate from the twenty seeds; on one trapped design per reaction, three paired branches. Question: does a chemist called between experiments 15 and 22 get the campaign out of a trap that neither the optimiser nor chance leaves?</w:t>
            </w:r>
          </w:p>
        </w:tc>
      </w:tr>
    </w:tbl>
    <w:p>
      <w:pPr>
        <w:spacing w:after="0"/>
      </w:pP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Reaction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18"/>
              </w:rPr>
              <w:t>Seed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Plain BO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First alert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The trap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Suzuki I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69 %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Xantphos seen at 40 °C → 0 %; rediscovered at 27, too late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Suzuki II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44 %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PCy3 seen once at 0 %; ends on XPhos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C–H arylation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72 %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77 % on CgMe-PPh at the start, then flat for 28 experiments</w:t>
            </w:r>
          </w:p>
        </w:tc>
      </w:tr>
    </w:tbl>
    <w:p>
      <w:pPr>
        <w:spacing w:after="0"/>
      </w:pPr>
    </w:p>
    <w:p>
      <w:pPr>
        <w:pStyle w:val="Heading1"/>
      </w:pPr>
      <w:r>
        <w:t>8 · The live page</w:t>
      </w:r>
    </w:p>
    <w:p>
      <w:pPr>
        <w:spacing w:after="120"/>
      </w:pPr>
      <w:r>
        <w:rPr>
          <w:rFonts w:ascii="Consolas" w:hAnsi="Consolas"/>
          <w:sz w:val="19"/>
        </w:rPr>
        <w:t>/hitl-live</w:t>
      </w:r>
      <w:r>
        <w:t xml:space="preserve"> in REACTO: a chemist replays the assigned control experiment by experiment — identical for everyone until they act — and at each alert chooses </w:t>
      </w:r>
      <w:r>
        <w:rPr>
          <w:i/>
        </w:rPr>
        <w:t>continue / propose / stop</w:t>
      </w:r>
      <w:r>
        <w:t xml:space="preserve">, with a justification. An imposed point switches the optimiser to live mode, seeded as the control. Everything is saved as a REACTO project and as JSON; a returning chemist resumes from a list, as on the Optimization page. The chemistry comes first (source scheme, conditions, prices per gram behind the cost objective), the sortable table next, plots last; no hypervolume or optimum is shown. Browser testing exposed and fixed three faults (a callback the renderer refused, a race between ticks, catalyst codes in the menus). L6 and L7 are now named PPh3 and P(t-Bu)3. </w:t>
      </w:r>
      <w:r>
        <w:rPr>
          <w:rFonts w:ascii="Consolas" w:hAnsi="Consolas"/>
          <w:sz w:val="19"/>
        </w:rPr>
        <w:t>collect_live.py</w:t>
      </w:r>
      <w:r>
        <w:t xml:space="preserve"> turns the chemists' files into two tables.</w:t>
      </w:r>
    </w:p>
    <w:p>
      <w:pPr>
        <w:pStyle w:val="Heading1"/>
      </w:pPr>
      <w:r>
        <w:t>9 · Open</w:t>
      </w:r>
    </w:p>
    <w:p>
      <w:pPr>
        <w:pStyle w:val="ListBullet"/>
        <w:spacing w:after="40"/>
      </w:pPr>
      <w:r>
        <w:t>Make the justification mandatory (13 of 13 trial decisions carry none).</w:t>
      </w:r>
    </w:p>
    <w:p>
      <w:pPr>
        <w:pStyle w:val="ListBullet"/>
        <w:spacing w:after="40"/>
      </w:pPr>
      <w:r>
        <w:t>How to compare a stopped campaign with a 40-experiment control.</w:t>
      </w:r>
    </w:p>
    <w:p>
      <w:pPr>
        <w:pStyle w:val="ListBullet"/>
        <w:spacing w:after="40"/>
      </w:pPr>
      <w:r>
        <w:t>Random branches on Suzuki, and enough draws at the first alert for percentiles.</w:t>
      </w:r>
    </w:p>
    <w:p>
      <w:pPr>
        <w:pStyle w:val="ListBullet"/>
        <w:spacing w:after="40"/>
      </w:pPr>
      <w:r>
        <w:t>Rights: the Nature figure needs permission for the article (a redrawn scheme is kept); the four-case scheme still needs its source credited.</w:t>
      </w:r>
    </w:p>
    <w:p>
      <w:pPr>
        <w:spacing w:after="120"/>
      </w:pPr>
      <w:r>
        <w:rPr>
          <w:color w:val="5A6876"/>
          <w:sz w:val="18"/>
        </w:rPr>
        <w:t>Details, numbers and decisions: hitl_bench/CLAUDE.md, data/README.md, results/arms_report_*.md, docs/nuit_du_10_septembre.md.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76F8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76F8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