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Supporting Information</w:t>
      </w:r>
    </w:p>
    <w:p>
      <w:pPr>
        <w:spacing w:after="280"/>
        <w:jc w:val="center"/>
      </w:pPr>
      <w:r>
        <w:rPr>
          <w:sz w:val="22"/>
          <w:szCs w:val="22"/>
        </w:rPr>
        <w:t xml:space="preserve">Bayesian optimisation of the phosphorylation and post-campaign analysis of the surrogate model</w:t>
      </w:r>
    </w:p>
    <w:p>
      <w:pPr>
        <w:pStyle w:val="Heading1"/>
        <w:spacing w:after="140" w:before="280"/>
      </w:pPr>
      <w:r>
        <w:t xml:space="preserve">S1. Optimisation procedure</w:t>
      </w:r>
    </w:p>
    <w:p>
      <w:pPr>
        <w:spacing w:after="140" w:line="276"/>
        <w:jc w:val="both"/>
      </w:pPr>
      <w:r>
        <w:t xml:space="preserve">The reaction was optimised with REACTO, a Bayesian optimisation framework for chemical reactions built on BoFire and BoTorch. The reaction space and objective are declared once; a space-filling initial design is drawn and performed; all experiments recorded so far are used to fit a Gaussian-process surrogate of the yield; an acquisition function computed from that surrogate is maximised over the reaction space, and its maximiser is the next set of conditions. Experiments were proposed and performed one at a time, never batched. The surrogate is refitted from scratch at each iteration, so a campaign is determined by the set of experiments recorded and not by their order.</w:t>
      </w:r>
    </w:p>
    <w:p>
      <w:pPr>
        <w:spacing w:after="140" w:line="276"/>
        <w:jc w:val="both"/>
      </w:pPr>
      <w:r>
        <w:t xml:space="preserve">Surrogate: single-task Gaussian process; squared-exponential (RBF) kernel with automatic relevance determination, one length scale per parameter; constant mean; fitted noise. Inputs scaled to the unit cube, yield standardised, hyperparameters set by marginal-likelihood maximisation under log-normal priors. The fitted noise standard deviation is 0.074 on the standardised yield, i.e. 1.9 percentage points.</w:t>
      </w:r>
    </w:p>
    <w:p>
      <w:pPr>
        <w:spacing w:after="140" w:line="276"/>
        <w:jc w:val="both"/>
      </w:pPr>
      <w:r>
        <w:t xml:space="preserve">Acquisition: qLogNEI, the log-transformed noisy expected improvement, maximised over the grid subject to the process constraint. Initial design: ten points by constrained k-means over the feasible grid, after Shields et al. and Kaneko.</w:t>
      </w:r>
    </w:p>
    <w:p>
      <w:pPr>
        <w:spacing w:after="140" w:line="276"/>
        <w:jc w:val="both"/>
      </w:pPr>
      <w:r>
        <w:rPr>
          <w:b/>
          <w:bCs/>
        </w:rPr>
        <w:t xml:space="preserve">Units. </w:t>
      </w:r>
      <w:r>
        <w:t xml:space="preserve">[DMIPP] and [BuOH] are concentrations in mol L</w:t>
      </w:r>
      <w:r>
        <w:rPr>
          <w:vertAlign w:val="superscript"/>
        </w:rPr>
        <w:t xml:space="preserve">−1</w:t>
      </w:r>
      <w:r>
        <w:t xml:space="preserve"> — the process constraint compares them directly — catalyst loading is in mol%, temperature in °C, residence time in min, yield in per cent.</w:t>
      </w:r>
    </w:p>
    <w:p>
      <w:pPr>
        <w:pStyle w:val="Heading1"/>
        <w:spacing w:after="140" w:before="280"/>
      </w:pPr>
      <w:r>
        <w:t xml:space="preserve">S2. Reaction space</w:t>
      </w:r>
    </w:p>
    <w:p>
      <w:pPr>
        <w:spacing w:after="140" w:line="276"/>
        <w:jc w:val="both"/>
      </w:pPr>
      <w:r>
        <w:t xml:space="preserve">All parameters are discrete: the concentrations and the temperature were declared with an increment and the optimiser searches only the resulting levels, so conditions that cannot be set on the rig are never proposed. A declared bound that does not fall on the increment is not itself a level, which is why [DMIPP] is searched to 6.6 M although declared to 6.7 M. The objective is the yield, maximised over 0–100 %. One process constraint applies, [DMIPP] ≤ [BuOH], enforced exactly both when the initial design is drawn and when the acquisition function is maximised. The grid holds 239,250 combinations, of which 172,260 (72 %) satisfy it.</w:t>
      </w:r>
    </w:p>
    <w:tbl>
      <w:tblPr>
        <w:tblW w:type="dxa" w:w="9026"/>
        <w:tblBorders>
          <w:top w:val="single" w:color="808080" w:sz="6"/>
          <w:left w:val="none"/>
          <w:bottom w:val="single" w:color="808080" w:sz="6"/>
          <w:right w:val="none"/>
          <w:insideH w:val="single" w:color="C8C8C8" w:sz="2"/>
          <w:insideV w:val="none"/>
        </w:tblBorders>
      </w:tblPr>
      <w:tblGrid>
        <w:gridCol w:w="3200"/>
        <w:gridCol w:w="2200"/>
        <w:gridCol w:w="1800"/>
        <w:gridCol w:w="1826"/>
      </w:tblGrid>
      <w:tr>
        <w:trPr>
          <w:tblHeader/>
        </w:trPr>
        <w:tc>
          <w:tcPr>
            <w:tcW w:type="dxa" w:w="3200"/>
            <w:shd w:fill="EDEDED" w:val="clear"/>
            <w:tcMar>
              <w:top w:type="dxa" w:w="60"/>
              <w:left w:type="dxa" w:w="100"/>
              <w:bottom w:type="dxa" w:w="60"/>
              <w:right w:type="dxa" w:w="100"/>
            </w:tcMar>
          </w:tcPr>
          <w:p>
            <w:pPr>
              <w:spacing w:after="0"/>
              <w:jc w:val="left"/>
            </w:pPr>
            <w:r>
              <w:rPr>
                <w:b/>
                <w:bCs/>
                <w:sz w:val="18"/>
                <w:szCs w:val="18"/>
              </w:rPr>
              <w:t xml:space="preserve">Parameter</w:t>
            </w:r>
          </w:p>
        </w:tc>
        <w:tc>
          <w:tcPr>
            <w:tcW w:type="dxa" w:w="2200"/>
            <w:shd w:fill="EDEDED" w:val="clear"/>
            <w:tcMar>
              <w:top w:type="dxa" w:w="60"/>
              <w:left w:type="dxa" w:w="100"/>
              <w:bottom w:type="dxa" w:w="60"/>
              <w:right w:type="dxa" w:w="100"/>
            </w:tcMar>
          </w:tcPr>
          <w:p>
            <w:pPr>
              <w:spacing w:after="0"/>
              <w:jc w:val="center"/>
            </w:pPr>
            <w:r>
              <w:rPr>
                <w:b/>
                <w:bCs/>
                <w:sz w:val="18"/>
                <w:szCs w:val="18"/>
              </w:rPr>
              <w:t xml:space="preserve">Range</w:t>
            </w:r>
          </w:p>
        </w:tc>
        <w:tc>
          <w:tcPr>
            <w:tcW w:type="dxa" w:w="1800"/>
            <w:shd w:fill="EDEDED" w:val="clear"/>
            <w:tcMar>
              <w:top w:type="dxa" w:w="60"/>
              <w:left w:type="dxa" w:w="100"/>
              <w:bottom w:type="dxa" w:w="60"/>
              <w:right w:type="dxa" w:w="100"/>
            </w:tcMar>
          </w:tcPr>
          <w:p>
            <w:pPr>
              <w:spacing w:after="0"/>
              <w:jc w:val="center"/>
            </w:pPr>
            <w:r>
              <w:rPr>
                <w:b/>
                <w:bCs/>
                <w:sz w:val="18"/>
                <w:szCs w:val="18"/>
              </w:rPr>
              <w:t xml:space="preserve">Increment</w:t>
            </w:r>
          </w:p>
        </w:tc>
        <w:tc>
          <w:tcPr>
            <w:tcW w:type="dxa" w:w="1826"/>
            <w:shd w:fill="EDEDED" w:val="clear"/>
            <w:tcMar>
              <w:top w:type="dxa" w:w="60"/>
              <w:left w:type="dxa" w:w="100"/>
              <w:bottom w:type="dxa" w:w="60"/>
              <w:right w:type="dxa" w:w="100"/>
            </w:tcMar>
          </w:tcPr>
          <w:p>
            <w:pPr>
              <w:spacing w:after="0"/>
              <w:jc w:val="center"/>
            </w:pPr>
            <w:r>
              <w:rPr>
                <w:b/>
                <w:bCs/>
                <w:sz w:val="18"/>
                <w:szCs w:val="18"/>
              </w:rPr>
              <w:t xml:space="preserve">Levels</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[DMIPP] (M)</w:t>
            </w:r>
          </w:p>
        </w:tc>
        <w:tc>
          <w:tcPr>
            <w:tcW w:type="dxa" w:w="2200"/>
            <w:tcMar>
              <w:top w:type="dxa" w:w="60"/>
              <w:left w:type="dxa" w:w="100"/>
              <w:bottom w:type="dxa" w:w="60"/>
              <w:right w:type="dxa" w:w="100"/>
            </w:tcMar>
          </w:tcPr>
          <w:p>
            <w:pPr>
              <w:spacing w:after="0"/>
              <w:jc w:val="center"/>
            </w:pPr>
            <w:r>
              <w:rPr>
                <w:b w:val="false"/>
                <w:bCs w:val="false"/>
                <w:sz w:val="18"/>
                <w:szCs w:val="18"/>
              </w:rPr>
              <w:t xml:space="preserve">1.0 – 6.6</w:t>
            </w:r>
          </w:p>
        </w:tc>
        <w:tc>
          <w:tcPr>
            <w:tcW w:type="dxa" w:w="1800"/>
            <w:tcMar>
              <w:top w:type="dxa" w:w="60"/>
              <w:left w:type="dxa" w:w="100"/>
              <w:bottom w:type="dxa" w:w="60"/>
              <w:right w:type="dxa" w:w="100"/>
            </w:tcMar>
          </w:tcPr>
          <w:p>
            <w:pPr>
              <w:spacing w:after="0"/>
              <w:jc w:val="center"/>
            </w:pPr>
            <w:r>
              <w:rPr>
                <w:b w:val="false"/>
                <w:bCs w:val="false"/>
                <w:sz w:val="18"/>
                <w:szCs w:val="18"/>
              </w:rPr>
              <w:t xml:space="preserve">0.2</w:t>
            </w:r>
          </w:p>
        </w:tc>
        <w:tc>
          <w:tcPr>
            <w:tcW w:type="dxa" w:w="1826"/>
            <w:tcMar>
              <w:top w:type="dxa" w:w="60"/>
              <w:left w:type="dxa" w:w="100"/>
              <w:bottom w:type="dxa" w:w="60"/>
              <w:right w:type="dxa" w:w="100"/>
            </w:tcMar>
          </w:tcPr>
          <w:p>
            <w:pPr>
              <w:spacing w:after="0"/>
              <w:jc w:val="center"/>
            </w:pPr>
            <w:r>
              <w:rPr>
                <w:b w:val="false"/>
                <w:bCs w:val="false"/>
                <w:sz w:val="18"/>
                <w:szCs w:val="18"/>
              </w:rPr>
              <w:t xml:space="preserve">29</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[BuOH] (M)</w:t>
            </w:r>
          </w:p>
        </w:tc>
        <w:tc>
          <w:tcPr>
            <w:tcW w:type="dxa" w:w="2200"/>
            <w:tcMar>
              <w:top w:type="dxa" w:w="60"/>
              <w:left w:type="dxa" w:w="100"/>
              <w:bottom w:type="dxa" w:w="60"/>
              <w:right w:type="dxa" w:w="100"/>
            </w:tcMar>
          </w:tcPr>
          <w:p>
            <w:pPr>
              <w:spacing w:after="0"/>
              <w:jc w:val="center"/>
            </w:pPr>
            <w:r>
              <w:rPr>
                <w:b w:val="false"/>
                <w:bCs w:val="false"/>
                <w:sz w:val="18"/>
                <w:szCs w:val="18"/>
              </w:rPr>
              <w:t xml:space="preserve">1.0 – 10.8</w:t>
            </w:r>
          </w:p>
        </w:tc>
        <w:tc>
          <w:tcPr>
            <w:tcW w:type="dxa" w:w="1800"/>
            <w:tcMar>
              <w:top w:type="dxa" w:w="60"/>
              <w:left w:type="dxa" w:w="100"/>
              <w:bottom w:type="dxa" w:w="60"/>
              <w:right w:type="dxa" w:w="100"/>
            </w:tcMar>
          </w:tcPr>
          <w:p>
            <w:pPr>
              <w:spacing w:after="0"/>
              <w:jc w:val="center"/>
            </w:pPr>
            <w:r>
              <w:rPr>
                <w:b w:val="false"/>
                <w:bCs w:val="false"/>
                <w:sz w:val="18"/>
                <w:szCs w:val="18"/>
              </w:rPr>
              <w:t xml:space="preserve">0.2</w:t>
            </w:r>
          </w:p>
        </w:tc>
        <w:tc>
          <w:tcPr>
            <w:tcW w:type="dxa" w:w="1826"/>
            <w:tcMar>
              <w:top w:type="dxa" w:w="60"/>
              <w:left w:type="dxa" w:w="100"/>
              <w:bottom w:type="dxa" w:w="60"/>
              <w:right w:type="dxa" w:w="100"/>
            </w:tcMar>
          </w:tcPr>
          <w:p>
            <w:pPr>
              <w:spacing w:after="0"/>
              <w:jc w:val="center"/>
            </w:pPr>
            <w:r>
              <w:rPr>
                <w:b w:val="false"/>
                <w:bCs w:val="false"/>
                <w:sz w:val="18"/>
                <w:szCs w:val="18"/>
              </w:rPr>
              <w:t xml:space="preserve">50</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Catalyst loading (mol%)</w:t>
            </w:r>
          </w:p>
        </w:tc>
        <w:tc>
          <w:tcPr>
            <w:tcW w:type="dxa" w:w="2200"/>
            <w:tcMar>
              <w:top w:type="dxa" w:w="60"/>
              <w:left w:type="dxa" w:w="100"/>
              <w:bottom w:type="dxa" w:w="60"/>
              <w:right w:type="dxa" w:w="100"/>
            </w:tcMar>
          </w:tcPr>
          <w:p>
            <w:pPr>
              <w:spacing w:after="0"/>
              <w:jc w:val="center"/>
            </w:pPr>
            <w:r>
              <w:rPr>
                <w:b w:val="false"/>
                <w:bCs w:val="false"/>
                <w:sz w:val="18"/>
                <w:szCs w:val="18"/>
              </w:rPr>
              <w:t xml:space="preserve">5.0, 7.5, 10.0</w:t>
            </w:r>
          </w:p>
        </w:tc>
        <w:tc>
          <w:tcPr>
            <w:tcW w:type="dxa" w:w="1800"/>
            <w:tcMar>
              <w:top w:type="dxa" w:w="60"/>
              <w:left w:type="dxa" w:w="100"/>
              <w:bottom w:type="dxa" w:w="60"/>
              <w:right w:type="dxa" w:w="100"/>
            </w:tcMar>
          </w:tcPr>
          <w:p>
            <w:pPr>
              <w:spacing w:after="0"/>
              <w:jc w:val="center"/>
            </w:pPr>
            <w:r>
              <w:rPr>
                <w:b w:val="false"/>
                <w:bCs w:val="false"/>
                <w:sz w:val="18"/>
                <w:szCs w:val="18"/>
              </w:rPr>
              <w:t xml:space="preserve">—</w:t>
            </w:r>
          </w:p>
        </w:tc>
        <w:tc>
          <w:tcPr>
            <w:tcW w:type="dxa" w:w="1826"/>
            <w:tcMar>
              <w:top w:type="dxa" w:w="60"/>
              <w:left w:type="dxa" w:w="100"/>
              <w:bottom w:type="dxa" w:w="60"/>
              <w:right w:type="dxa" w:w="100"/>
            </w:tcMar>
          </w:tcPr>
          <w:p>
            <w:pPr>
              <w:spacing w:after="0"/>
              <w:jc w:val="center"/>
            </w:pPr>
            <w:r>
              <w:rPr>
                <w:b w:val="false"/>
                <w:bCs w:val="false"/>
                <w:sz w:val="18"/>
                <w:szCs w:val="18"/>
              </w:rPr>
              <w:t xml:space="preserve">3</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Temperature (°C)</w:t>
            </w:r>
          </w:p>
        </w:tc>
        <w:tc>
          <w:tcPr>
            <w:tcW w:type="dxa" w:w="2200"/>
            <w:tcMar>
              <w:top w:type="dxa" w:w="60"/>
              <w:left w:type="dxa" w:w="100"/>
              <w:bottom w:type="dxa" w:w="60"/>
              <w:right w:type="dxa" w:w="100"/>
            </w:tcMar>
          </w:tcPr>
          <w:p>
            <w:pPr>
              <w:spacing w:after="0"/>
              <w:jc w:val="center"/>
            </w:pPr>
            <w:r>
              <w:rPr>
                <w:b w:val="false"/>
                <w:bCs w:val="false"/>
                <w:sz w:val="18"/>
                <w:szCs w:val="18"/>
              </w:rPr>
              <w:t xml:space="preserve">25 – 75</w:t>
            </w:r>
          </w:p>
        </w:tc>
        <w:tc>
          <w:tcPr>
            <w:tcW w:type="dxa" w:w="1800"/>
            <w:tcMar>
              <w:top w:type="dxa" w:w="60"/>
              <w:left w:type="dxa" w:w="100"/>
              <w:bottom w:type="dxa" w:w="60"/>
              <w:right w:type="dxa" w:w="100"/>
            </w:tcMar>
          </w:tcPr>
          <w:p>
            <w:pPr>
              <w:spacing w:after="0"/>
              <w:jc w:val="center"/>
            </w:pPr>
            <w:r>
              <w:rPr>
                <w:b w:val="false"/>
                <w:bCs w:val="false"/>
                <w:sz w:val="18"/>
                <w:szCs w:val="18"/>
              </w:rPr>
              <w:t xml:space="preserve">5</w:t>
            </w:r>
          </w:p>
        </w:tc>
        <w:tc>
          <w:tcPr>
            <w:tcW w:type="dxa" w:w="1826"/>
            <w:tcMar>
              <w:top w:type="dxa" w:w="60"/>
              <w:left w:type="dxa" w:w="100"/>
              <w:bottom w:type="dxa" w:w="60"/>
              <w:right w:type="dxa" w:w="100"/>
            </w:tcMar>
          </w:tcPr>
          <w:p>
            <w:pPr>
              <w:spacing w:after="0"/>
              <w:jc w:val="center"/>
            </w:pPr>
            <w:r>
              <w:rPr>
                <w:b w:val="false"/>
                <w:bCs w:val="false"/>
                <w:sz w:val="18"/>
                <w:szCs w:val="18"/>
              </w:rPr>
              <w:t xml:space="preserve">11</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Residence time (min)</w:t>
            </w:r>
          </w:p>
        </w:tc>
        <w:tc>
          <w:tcPr>
            <w:tcW w:type="dxa" w:w="2200"/>
            <w:tcMar>
              <w:top w:type="dxa" w:w="60"/>
              <w:left w:type="dxa" w:w="100"/>
              <w:bottom w:type="dxa" w:w="60"/>
              <w:right w:type="dxa" w:w="100"/>
            </w:tcMar>
          </w:tcPr>
          <w:p>
            <w:pPr>
              <w:spacing w:after="0"/>
              <w:jc w:val="center"/>
            </w:pPr>
            <w:r>
              <w:rPr>
                <w:b w:val="false"/>
                <w:bCs w:val="false"/>
                <w:sz w:val="18"/>
                <w:szCs w:val="18"/>
              </w:rPr>
              <w:t xml:space="preserve">0.5 – 2.5</w:t>
            </w:r>
          </w:p>
        </w:tc>
        <w:tc>
          <w:tcPr>
            <w:tcW w:type="dxa" w:w="1800"/>
            <w:tcMar>
              <w:top w:type="dxa" w:w="60"/>
              <w:left w:type="dxa" w:w="100"/>
              <w:bottom w:type="dxa" w:w="60"/>
              <w:right w:type="dxa" w:w="100"/>
            </w:tcMar>
          </w:tcPr>
          <w:p>
            <w:pPr>
              <w:spacing w:after="0"/>
              <w:jc w:val="center"/>
            </w:pPr>
            <w:r>
              <w:rPr>
                <w:b w:val="false"/>
                <w:bCs w:val="false"/>
                <w:sz w:val="18"/>
                <w:szCs w:val="18"/>
              </w:rPr>
              <w:t xml:space="preserve">0.5</w:t>
            </w:r>
          </w:p>
        </w:tc>
        <w:tc>
          <w:tcPr>
            <w:tcW w:type="dxa" w:w="1826"/>
            <w:tcMar>
              <w:top w:type="dxa" w:w="60"/>
              <w:left w:type="dxa" w:w="100"/>
              <w:bottom w:type="dxa" w:w="60"/>
              <w:right w:type="dxa" w:w="100"/>
            </w:tcMar>
          </w:tcPr>
          <w:p>
            <w:pPr>
              <w:spacing w:after="0"/>
              <w:jc w:val="center"/>
            </w:pPr>
            <w:r>
              <w:rPr>
                <w:b w:val="false"/>
                <w:bCs w:val="false"/>
                <w:sz w:val="18"/>
                <w:szCs w:val="18"/>
              </w:rPr>
              <w:t xml:space="preserve">5</w:t>
            </w:r>
          </w:p>
        </w:tc>
      </w:tr>
    </w:tbl>
    <w:p>
      <w:pPr>
        <w:spacing w:after="220" w:before="100"/>
        <w:jc w:val="both"/>
      </w:pPr>
      <w:r>
        <w:rPr>
          <w:b/>
          <w:bCs/>
          <w:sz w:val="18"/>
          <w:szCs w:val="18"/>
        </w:rPr>
        <w:t xml:space="preserve">Table S1. </w:t>
      </w:r>
      <w:r>
        <w:rPr>
          <w:sz w:val="18"/>
          <w:szCs w:val="18"/>
        </w:rPr>
        <w:t xml:space="preserve">The reaction space as declared to the optimiser.</w:t>
      </w:r>
    </w:p>
    <w:p>
      <w:pPr>
        <w:pStyle w:val="Heading1"/>
        <w:spacing w:after="140" w:before="280"/>
      </w:pPr>
      <w:r>
        <w:t xml:space="preserve">S3. The campaign</w:t>
      </w:r>
    </w:p>
    <w:p>
      <w:pPr>
        <w:spacing w:after="140" w:line="276"/>
        <w:jc w:val="both"/>
      </w:pPr>
      <w:r>
        <w:t xml:space="preserve">Nineteen experiments were performed: the ten of the initial design, whose best yield was 69 %, then nine proposed one at a time, reaching 88 %.</w:t>
      </w:r>
    </w:p>
    <w:tbl>
      <w:tblPr>
        <w:tblW w:type="dxa" w:w="9026"/>
        <w:tblBorders>
          <w:top w:val="single" w:color="808080" w:sz="6"/>
          <w:left w:val="none"/>
          <w:bottom w:val="single" w:color="808080" w:sz="6"/>
          <w:right w:val="none"/>
          <w:insideH w:val="single" w:color="C8C8C8" w:sz="2"/>
          <w:insideV w:val="none"/>
        </w:tblBorders>
      </w:tblPr>
      <w:tblGrid>
        <w:gridCol w:w="700"/>
        <w:gridCol w:w="1400"/>
        <w:gridCol w:w="1300"/>
        <w:gridCol w:w="1300"/>
        <w:gridCol w:w="1150"/>
        <w:gridCol w:w="1050"/>
        <w:gridCol w:w="1050"/>
        <w:gridCol w:w="1076"/>
      </w:tblGrid>
      <w:tr>
        <w:trPr>
          <w:tblHeader/>
        </w:trPr>
        <w:tc>
          <w:tcPr>
            <w:tcW w:type="dxa" w:w="700"/>
            <w:shd w:fill="EDEDED" w:val="clear"/>
            <w:tcMar>
              <w:top w:type="dxa" w:w="60"/>
              <w:left w:type="dxa" w:w="100"/>
              <w:bottom w:type="dxa" w:w="60"/>
              <w:right w:type="dxa" w:w="100"/>
            </w:tcMar>
          </w:tcPr>
          <w:p>
            <w:pPr>
              <w:spacing w:after="0"/>
              <w:jc w:val="left"/>
            </w:pPr>
            <w:r>
              <w:rPr>
                <w:b/>
                <w:bCs/>
                <w:sz w:val="18"/>
                <w:szCs w:val="18"/>
              </w:rPr>
              <w:t xml:space="preserve">#</w:t>
            </w:r>
          </w:p>
        </w:tc>
        <w:tc>
          <w:tcPr>
            <w:tcW w:type="dxa" w:w="1400"/>
            <w:shd w:fill="EDEDED" w:val="clear"/>
            <w:tcMar>
              <w:top w:type="dxa" w:w="60"/>
              <w:left w:type="dxa" w:w="100"/>
              <w:bottom w:type="dxa" w:w="60"/>
              <w:right w:type="dxa" w:w="100"/>
            </w:tcMar>
          </w:tcPr>
          <w:p>
            <w:pPr>
              <w:spacing w:after="0"/>
              <w:jc w:val="center"/>
            </w:pPr>
            <w:r>
              <w:rPr>
                <w:b/>
                <w:bCs/>
                <w:sz w:val="18"/>
                <w:szCs w:val="18"/>
              </w:rPr>
              <w:t xml:space="preserve">Origin</w:t>
            </w:r>
          </w:p>
        </w:tc>
        <w:tc>
          <w:tcPr>
            <w:tcW w:type="dxa" w:w="1300"/>
            <w:shd w:fill="EDEDED" w:val="clear"/>
            <w:tcMar>
              <w:top w:type="dxa" w:w="60"/>
              <w:left w:type="dxa" w:w="100"/>
              <w:bottom w:type="dxa" w:w="60"/>
              <w:right w:type="dxa" w:w="100"/>
            </w:tcMar>
          </w:tcPr>
          <w:p>
            <w:pPr>
              <w:spacing w:after="0"/>
              <w:jc w:val="center"/>
            </w:pPr>
            <w:r>
              <w:rPr>
                <w:b/>
                <w:bCs/>
                <w:sz w:val="18"/>
                <w:szCs w:val="18"/>
              </w:rPr>
              <w:t xml:space="preserve">[DMIPP]</w:t>
            </w:r>
          </w:p>
          <w:p>
            <w:pPr>
              <w:spacing w:after="0"/>
              <w:jc w:val="center"/>
            </w:pPr>
            <w:r>
              <w:rPr>
                <w:b/>
                <w:bCs/>
                <w:sz w:val="18"/>
                <w:szCs w:val="18"/>
              </w:rPr>
              <w:t xml:space="preserve">(M)</w:t>
            </w:r>
          </w:p>
        </w:tc>
        <w:tc>
          <w:tcPr>
            <w:tcW w:type="dxa" w:w="1300"/>
            <w:shd w:fill="EDEDED" w:val="clear"/>
            <w:tcMar>
              <w:top w:type="dxa" w:w="60"/>
              <w:left w:type="dxa" w:w="100"/>
              <w:bottom w:type="dxa" w:w="60"/>
              <w:right w:type="dxa" w:w="100"/>
            </w:tcMar>
          </w:tcPr>
          <w:p>
            <w:pPr>
              <w:spacing w:after="0"/>
              <w:jc w:val="center"/>
            </w:pPr>
            <w:r>
              <w:rPr>
                <w:b/>
                <w:bCs/>
                <w:sz w:val="18"/>
                <w:szCs w:val="18"/>
              </w:rPr>
              <w:t xml:space="preserve">[BuOH]</w:t>
            </w:r>
          </w:p>
          <w:p>
            <w:pPr>
              <w:spacing w:after="0"/>
              <w:jc w:val="center"/>
            </w:pPr>
            <w:r>
              <w:rPr>
                <w:b/>
                <w:bCs/>
                <w:sz w:val="18"/>
                <w:szCs w:val="18"/>
              </w:rPr>
              <w:t xml:space="preserve">(M)</w:t>
            </w:r>
          </w:p>
        </w:tc>
        <w:tc>
          <w:tcPr>
            <w:tcW w:type="dxa" w:w="1150"/>
            <w:shd w:fill="EDEDED" w:val="clear"/>
            <w:tcMar>
              <w:top w:type="dxa" w:w="60"/>
              <w:left w:type="dxa" w:w="100"/>
              <w:bottom w:type="dxa" w:w="60"/>
              <w:right w:type="dxa" w:w="100"/>
            </w:tcMar>
          </w:tcPr>
          <w:p>
            <w:pPr>
              <w:spacing w:after="0"/>
              <w:jc w:val="center"/>
            </w:pPr>
            <w:r>
              <w:rPr>
                <w:b/>
                <w:bCs/>
                <w:sz w:val="18"/>
                <w:szCs w:val="18"/>
              </w:rPr>
              <w:t xml:space="preserve">Cat.</w:t>
            </w:r>
          </w:p>
          <w:p>
            <w:pPr>
              <w:spacing w:after="0"/>
              <w:jc w:val="center"/>
            </w:pPr>
            <w:r>
              <w:rPr>
                <w:b/>
                <w:bCs/>
                <w:sz w:val="18"/>
                <w:szCs w:val="18"/>
              </w:rPr>
              <w:t xml:space="preserve">(mol%)</w:t>
            </w:r>
          </w:p>
        </w:tc>
        <w:tc>
          <w:tcPr>
            <w:tcW w:type="dxa" w:w="105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(°C)</w:t>
            </w:r>
          </w:p>
        </w:tc>
        <w:tc>
          <w:tcPr>
            <w:tcW w:type="dxa" w:w="105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(min)</w:t>
            </w:r>
          </w:p>
        </w:tc>
        <w:tc>
          <w:tcPr>
            <w:tcW w:type="dxa" w:w="1076"/>
            <w:shd w:fill="EDEDED" w:val="clear"/>
            <w:tcMar>
              <w:top w:type="dxa" w:w="60"/>
              <w:left w:type="dxa" w:w="100"/>
              <w:bottom w:type="dxa" w:w="60"/>
              <w:right w:type="dxa" w:w="100"/>
            </w:tcMar>
          </w:tcPr>
          <w:p>
            <w:pPr>
              <w:spacing w:after="0"/>
              <w:jc w:val="center"/>
            </w:pPr>
            <w:r>
              <w:rPr>
                <w:b/>
                <w:bCs/>
                <w:sz w:val="18"/>
                <w:szCs w:val="18"/>
              </w:rPr>
              <w:t xml:space="preserve">Yield</w:t>
            </w:r>
          </w:p>
          <w:p>
            <w:pPr>
              <w:spacing w:after="0"/>
              <w:jc w:val="center"/>
            </w:pPr>
            <w:r>
              <w:rPr>
                <w:b/>
                <w:bCs/>
                <w:sz w:val="18"/>
                <w:szCs w:val="18"/>
              </w:rPr>
              <w:t xml:space="preserve">(%)</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2</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8.6</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50</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3</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300"/>
            <w:tcMar>
              <w:top w:type="dxa" w:w="60"/>
              <w:left w:type="dxa" w:w="100"/>
              <w:bottom w:type="dxa" w:w="60"/>
              <w:right w:type="dxa" w:w="100"/>
            </w:tcMar>
          </w:tcPr>
          <w:p>
            <w:pPr>
              <w:spacing w:after="0"/>
              <w:jc w:val="center"/>
            </w:pPr>
            <w:r>
              <w:rPr>
                <w:b w:val="false"/>
                <w:bCs w:val="false"/>
                <w:sz w:val="18"/>
                <w:szCs w:val="18"/>
              </w:rPr>
              <w:t xml:space="preserve">7.0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4</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5.2</w:t>
            </w:r>
          </w:p>
        </w:tc>
        <w:tc>
          <w:tcPr>
            <w:tcW w:type="dxa" w:w="1300"/>
            <w:tcMar>
              <w:top w:type="dxa" w:w="60"/>
              <w:left w:type="dxa" w:w="100"/>
              <w:bottom w:type="dxa" w:w="60"/>
              <w:right w:type="dxa" w:w="100"/>
            </w:tcMar>
          </w:tcPr>
          <w:p>
            <w:pPr>
              <w:spacing w:after="0"/>
              <w:jc w:val="center"/>
            </w:pPr>
            <w:r>
              <w:rPr>
                <w:b w:val="false"/>
                <w:bCs w:val="false"/>
                <w:sz w:val="18"/>
                <w:szCs w:val="18"/>
              </w:rPr>
              <w:t xml:space="preserve">8.4</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40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19</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5</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8.4</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6</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3.0</w:t>
            </w:r>
          </w:p>
        </w:tc>
        <w:tc>
          <w:tcPr>
            <w:tcW w:type="dxa" w:w="1300"/>
            <w:tcMar>
              <w:top w:type="dxa" w:w="60"/>
              <w:left w:type="dxa" w:w="100"/>
              <w:bottom w:type="dxa" w:w="60"/>
              <w:right w:type="dxa" w:w="100"/>
            </w:tcMar>
          </w:tcPr>
          <w:p>
            <w:pPr>
              <w:spacing w:after="0"/>
              <w:jc w:val="center"/>
            </w:pPr>
            <w:r>
              <w:rPr>
                <w:b w:val="false"/>
                <w:bCs w:val="false"/>
                <w:sz w:val="18"/>
                <w:szCs w:val="18"/>
              </w:rPr>
              <w:t xml:space="preserve">7.4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69</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7</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300"/>
            <w:tcMar>
              <w:top w:type="dxa" w:w="60"/>
              <w:left w:type="dxa" w:w="100"/>
              <w:bottom w:type="dxa" w:w="60"/>
              <w:right w:type="dxa" w:w="100"/>
            </w:tcMar>
          </w:tcPr>
          <w:p>
            <w:pPr>
              <w:spacing w:after="0"/>
              <w:jc w:val="center"/>
            </w:pPr>
            <w:r>
              <w:rPr>
                <w:b w:val="false"/>
                <w:bCs w:val="false"/>
                <w:sz w:val="18"/>
                <w:szCs w:val="18"/>
              </w:rPr>
              <w:t xml:space="preserve">7.0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30</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8</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61</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9</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3.2</w:t>
            </w:r>
          </w:p>
        </w:tc>
        <w:tc>
          <w:tcPr>
            <w:tcW w:type="dxa" w:w="1300"/>
            <w:tcMar>
              <w:top w:type="dxa" w:w="60"/>
              <w:left w:type="dxa" w:w="100"/>
              <w:bottom w:type="dxa" w:w="60"/>
              <w:right w:type="dxa" w:w="100"/>
            </w:tcMar>
          </w:tcPr>
          <w:p>
            <w:pPr>
              <w:spacing w:after="0"/>
              <w:jc w:val="center"/>
            </w:pPr>
            <w:r>
              <w:rPr>
                <w:b w:val="false"/>
                <w:bCs w:val="false"/>
                <w:sz w:val="18"/>
                <w:szCs w:val="18"/>
              </w:rPr>
              <w:t xml:space="preserve">7.4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36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10</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5.8</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11</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1.8</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72</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12</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3.8</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85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13</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2.5</w:t>
            </w:r>
          </w:p>
        </w:tc>
        <w:tc>
          <w:tcPr>
            <w:tcW w:type="dxa" w:w="1076"/>
            <w:tcMar>
              <w:top w:type="dxa" w:w="60"/>
              <w:left w:type="dxa" w:w="100"/>
              <w:bottom w:type="dxa" w:w="60"/>
              <w:right w:type="dxa" w:w="100"/>
            </w:tcMar>
          </w:tcPr>
          <w:p>
            <w:pPr>
              <w:spacing w:after="0"/>
              <w:jc w:val="center"/>
            </w:pPr>
            <w:r>
              <w:rPr>
                <w:b w:val="false"/>
                <w:bCs w:val="false"/>
                <w:sz w:val="18"/>
                <w:szCs w:val="18"/>
              </w:rPr>
              <w:t xml:space="preserve">58</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14</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77</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15</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2.5</w:t>
            </w:r>
          </w:p>
        </w:tc>
        <w:tc>
          <w:tcPr>
            <w:tcW w:type="dxa" w:w="1076"/>
            <w:tcMar>
              <w:top w:type="dxa" w:w="60"/>
              <w:left w:type="dxa" w:w="100"/>
              <w:bottom w:type="dxa" w:w="60"/>
              <w:right w:type="dxa" w:w="100"/>
            </w:tcMar>
          </w:tcPr>
          <w:p>
            <w:pPr>
              <w:spacing w:after="0"/>
              <w:jc w:val="center"/>
            </w:pPr>
            <w:r>
              <w:rPr>
                <w:b w:val="false"/>
                <w:bCs w:val="false"/>
                <w:sz w:val="18"/>
                <w:szCs w:val="18"/>
              </w:rPr>
              <w:t xml:space="preserve">55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16</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73</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17</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7.6</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53</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18</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1.6</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88</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19</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2.6</w:t>
            </w:r>
          </w:p>
        </w:tc>
        <w:tc>
          <w:tcPr>
            <w:tcW w:type="dxa" w:w="1300"/>
            <w:tcMar>
              <w:top w:type="dxa" w:w="60"/>
              <w:left w:type="dxa" w:w="100"/>
              <w:bottom w:type="dxa" w:w="60"/>
              <w:right w:type="dxa" w:w="100"/>
            </w:tcMar>
          </w:tcPr>
          <w:p>
            <w:pPr>
              <w:spacing w:after="0"/>
              <w:jc w:val="center"/>
            </w:pPr>
            <w:r>
              <w:rPr>
                <w:b w:val="false"/>
                <w:bCs w:val="false"/>
                <w:sz w:val="18"/>
                <w:szCs w:val="18"/>
              </w:rPr>
              <w:t xml:space="preserve">3.2</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68</w:t>
            </w:r>
          </w:p>
        </w:tc>
      </w:tr>
    </w:tbl>
    <w:p>
      <w:pPr>
        <w:spacing w:after="220" w:before="100"/>
        <w:jc w:val="both"/>
      </w:pPr>
      <w:r>
        <w:rPr>
          <w:b/>
          <w:bCs/>
          <w:sz w:val="18"/>
          <w:szCs w:val="18"/>
        </w:rPr>
        <w:t xml:space="preserve">Table S2. </w:t>
      </w:r>
      <w:r>
        <w:rPr>
          <w:sz w:val="18"/>
          <w:szCs w:val="18"/>
        </w:rPr>
        <w:t xml:space="preserve">The nineteen experiments, in the order performed.</w:t>
      </w:r>
    </w:p>
    <w:p>
      <w:r>
        <w:br w:type="page"/>
      </w:r>
    </w:p>
    <w:p>
      <w:pPr>
        <w:pStyle w:val="Heading1"/>
        <w:spacing w:after="140" w:before="280"/>
      </w:pPr>
      <w:r>
        <w:t xml:space="preserve">S4. Post-campaign analysis of the surrogate</w:t>
      </w:r>
    </w:p>
    <w:p>
      <w:pPr>
        <w:spacing w:after="140" w:line="276"/>
        <w:jc w:val="both"/>
      </w:pPr>
      <w:r>
        <w:t xml:space="preserve">The campaign ends with a Gaussian process trained on every experiment performed — a model of the yield over the whole reaction space. What follows was extracted from that model, the campaign's own. Three thresholds were fixed before the analysis and applied uniformly: favourable means a predicted yield above 70 %; a posterior standard deviation σ below 15 percentage points is required everywhere; within any restricted region the arg-max of the posterior mean μ is taken. This is exploitation by design, the campaign's acquisition function having balanced predicted yield against uncertainty; here the question is not what to learn but what to trust.</w:t>
      </w:r>
    </w:p>
    <w:p>
      <w:pPr>
        <w:pStyle w:val="Heading2"/>
        <w:spacing w:after="140" w:before="280"/>
      </w:pPr>
      <w:r>
        <w:t xml:space="preserve">S4.1 Map and predicted optimum</w:t>
      </w:r>
    </w:p>
    <w:p>
      <w:pPr>
        <w:spacing w:after="140" w:line="276"/>
        <w:jc w:val="both"/>
      </w:pPr>
      <w:r>
        <w:t xml:space="preserve">The surrogate was evaluated at all 172,260 feasible grid points, giving μ and σ at each: μ spans −3.0 to 87.8 % (mean 34.3) and σ 2.5 to 24.3 percentage points (mean 12.7). The best point is [DMIPP] 1.2 M, [BuOH] 3.4 M, 10.0 mol%, 65 °C, 1.5 min, at 87.8 ± 3.2 %. It differs from the best experiment (1.6 M, 3.4 M, 10.0 mol%, 65 °C, 1.5 min, 88 % measured) in [DMIPP] alone, by two increments of 0.2 M. The surrogate therefore places no better optimum outside what the campaign found.</w:t>
      </w:r>
    </w:p>
    <w:p>
      <w:pPr>
        <w:pStyle w:val="Heading2"/>
        <w:spacing w:after="140" w:before="280"/>
      </w:pPr>
      <w:r>
        <w:t xml:space="preserve">S4.2 Parameter influence</w:t>
      </w:r>
    </w:p>
    <w:p>
      <w:pPr>
        <w:spacing w:after="140" w:line="276"/>
        <w:jc w:val="both"/>
      </w:pPr>
      <w:r>
        <w:t xml:space="preserve">Length scales report how sharply the response turns over along each parameter; they do not measure effect size, since a long, steady slope has a long length scale and a large effect. Effects were therefore also measured directly, by sweeping each parameter across its levels with the others held at the predicted optimum, and again over 200 feasible backgrounds drawn at random (median reported); only combinations satisfying the process constraint were swept. [BuOH] has the shortest length scale of the five yet only the fourth largest median effect: it dominates near the optimum, where it moves the predicted yield by 58.8 percentage points, and matters little elsewhere. Temperature and catalyst loading dominate throughout.</w:t>
      </w:r>
    </w:p>
    <w:tbl>
      <w:tblPr>
        <w:tblW w:type="dxa" w:w="9026"/>
        <w:tblBorders>
          <w:top w:val="single" w:color="808080" w:sz="6"/>
          <w:left w:val="none"/>
          <w:bottom w:val="single" w:color="808080" w:sz="6"/>
          <w:right w:val="none"/>
          <w:insideH w:val="single" w:color="C8C8C8" w:sz="2"/>
          <w:insideV w:val="none"/>
        </w:tblBorders>
      </w:tblPr>
      <w:tblGrid>
        <w:gridCol w:w="2000"/>
        <w:gridCol w:w="1700"/>
        <w:gridCol w:w="2600"/>
        <w:gridCol w:w="2726"/>
      </w:tblGrid>
      <w:tr>
        <w:trPr>
          <w:tblHeader/>
        </w:trPr>
        <w:tc>
          <w:tcPr>
            <w:tcW w:type="dxa" w:w="2000"/>
            <w:shd w:fill="EDEDED" w:val="clear"/>
            <w:tcMar>
              <w:top w:type="dxa" w:w="60"/>
              <w:left w:type="dxa" w:w="100"/>
              <w:bottom w:type="dxa" w:w="60"/>
              <w:right w:type="dxa" w:w="100"/>
            </w:tcMar>
          </w:tcPr>
          <w:p>
            <w:pPr>
              <w:spacing w:after="0"/>
              <w:jc w:val="left"/>
            </w:pPr>
            <w:r>
              <w:rPr>
                <w:b/>
                <w:bCs/>
                <w:sz w:val="18"/>
                <w:szCs w:val="18"/>
              </w:rPr>
              <w:t xml:space="preserve">Parameter</w:t>
            </w:r>
          </w:p>
        </w:tc>
        <w:tc>
          <w:tcPr>
            <w:tcW w:type="dxa" w:w="1700"/>
            <w:shd w:fill="EDEDED" w:val="clear"/>
            <w:tcMar>
              <w:top w:type="dxa" w:w="60"/>
              <w:left w:type="dxa" w:w="100"/>
              <w:bottom w:type="dxa" w:w="60"/>
              <w:right w:type="dxa" w:w="100"/>
            </w:tcMar>
          </w:tcPr>
          <w:p>
            <w:pPr>
              <w:spacing w:after="0"/>
              <w:jc w:val="center"/>
            </w:pPr>
            <w:r>
              <w:rPr>
                <w:b/>
                <w:bCs/>
                <w:sz w:val="18"/>
                <w:szCs w:val="18"/>
              </w:rPr>
              <w:t xml:space="preserve">Length scale</w:t>
            </w:r>
          </w:p>
        </w:tc>
        <w:tc>
          <w:tcPr>
            <w:tcW w:type="dxa" w:w="2600"/>
            <w:shd w:fill="EDEDED" w:val="clear"/>
            <w:tcMar>
              <w:top w:type="dxa" w:w="60"/>
              <w:left w:type="dxa" w:w="100"/>
              <w:bottom w:type="dxa" w:w="60"/>
              <w:right w:type="dxa" w:w="100"/>
            </w:tcMar>
          </w:tcPr>
          <w:p>
            <w:pPr>
              <w:spacing w:after="0"/>
              <w:jc w:val="center"/>
            </w:pPr>
            <w:r>
              <w:rPr>
                <w:b/>
                <w:bCs/>
                <w:sz w:val="18"/>
                <w:szCs w:val="18"/>
              </w:rPr>
              <w:t xml:space="preserve">Effect at the optimum</w:t>
            </w:r>
          </w:p>
          <w:p>
            <w:pPr>
              <w:spacing w:after="0"/>
              <w:jc w:val="center"/>
            </w:pPr>
            <w:r>
              <w:rPr>
                <w:b/>
                <w:bCs/>
                <w:sz w:val="18"/>
                <w:szCs w:val="18"/>
              </w:rPr>
              <w:t xml:space="preserve">(percentage points)</w:t>
            </w:r>
          </w:p>
        </w:tc>
        <w:tc>
          <w:tcPr>
            <w:tcW w:type="dxa" w:w="2726"/>
            <w:shd w:fill="EDEDED" w:val="clear"/>
            <w:tcMar>
              <w:top w:type="dxa" w:w="60"/>
              <w:left w:type="dxa" w:w="100"/>
              <w:bottom w:type="dxa" w:w="60"/>
              <w:right w:type="dxa" w:w="100"/>
            </w:tcMar>
          </w:tcPr>
          <w:p>
            <w:pPr>
              <w:spacing w:after="0"/>
              <w:jc w:val="center"/>
            </w:pPr>
            <w:r>
              <w:rPr>
                <w:b/>
                <w:bCs/>
                <w:sz w:val="18"/>
                <w:szCs w:val="18"/>
              </w:rPr>
              <w:t xml:space="preserve">Median effect over the space</w:t>
            </w:r>
          </w:p>
          <w:p>
            <w:pPr>
              <w:spacing w:after="0"/>
              <w:jc w:val="center"/>
            </w:pPr>
            <w:r>
              <w:rPr>
                <w:b/>
                <w:bCs/>
                <w:sz w:val="18"/>
                <w:szCs w:val="18"/>
              </w:rPr>
              <w:t xml:space="preserve">(percentage points)</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Temperature</w:t>
            </w:r>
          </w:p>
        </w:tc>
        <w:tc>
          <w:tcPr>
            <w:tcW w:type="dxa" w:w="1700"/>
            <w:tcMar>
              <w:top w:type="dxa" w:w="60"/>
              <w:left w:type="dxa" w:w="100"/>
              <w:bottom w:type="dxa" w:w="60"/>
              <w:right w:type="dxa" w:w="100"/>
            </w:tcMar>
          </w:tcPr>
          <w:p>
            <w:pPr>
              <w:spacing w:after="0"/>
              <w:jc w:val="center"/>
            </w:pPr>
            <w:r>
              <w:rPr>
                <w:b w:val="false"/>
                <w:bCs w:val="false"/>
                <w:sz w:val="18"/>
                <w:szCs w:val="18"/>
              </w:rPr>
              <w:t xml:space="preserve">0.6</w:t>
            </w:r>
          </w:p>
        </w:tc>
        <w:tc>
          <w:tcPr>
            <w:tcW w:type="dxa" w:w="2600"/>
            <w:tcMar>
              <w:top w:type="dxa" w:w="60"/>
              <w:left w:type="dxa" w:w="100"/>
              <w:bottom w:type="dxa" w:w="60"/>
              <w:right w:type="dxa" w:w="100"/>
            </w:tcMar>
          </w:tcPr>
          <w:p>
            <w:pPr>
              <w:spacing w:after="0"/>
              <w:jc w:val="center"/>
            </w:pPr>
            <w:r>
              <w:rPr>
                <w:b w:val="false"/>
                <w:bCs w:val="false"/>
                <w:sz w:val="18"/>
                <w:szCs w:val="18"/>
              </w:rPr>
              <w:t xml:space="preserve">55.9</w:t>
            </w:r>
          </w:p>
        </w:tc>
        <w:tc>
          <w:tcPr>
            <w:tcW w:type="dxa" w:w="2726"/>
            <w:tcMar>
              <w:top w:type="dxa" w:w="60"/>
              <w:left w:type="dxa" w:w="100"/>
              <w:bottom w:type="dxa" w:w="60"/>
              <w:right w:type="dxa" w:w="100"/>
            </w:tcMar>
          </w:tcPr>
          <w:p>
            <w:pPr>
              <w:spacing w:after="0"/>
              <w:jc w:val="center"/>
            </w:pPr>
            <w:r>
              <w:rPr>
                <w:b w:val="false"/>
                <w:bCs w:val="false"/>
                <w:sz w:val="18"/>
                <w:szCs w:val="18"/>
              </w:rPr>
              <w:t xml:space="preserve">31.4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Cat. loading</w:t>
            </w:r>
          </w:p>
        </w:tc>
        <w:tc>
          <w:tcPr>
            <w:tcW w:type="dxa" w:w="1700"/>
            <w:tcMar>
              <w:top w:type="dxa" w:w="60"/>
              <w:left w:type="dxa" w:w="100"/>
              <w:bottom w:type="dxa" w:w="60"/>
              <w:right w:type="dxa" w:w="100"/>
            </w:tcMar>
          </w:tcPr>
          <w:p>
            <w:pPr>
              <w:spacing w:after="0"/>
              <w:jc w:val="center"/>
            </w:pPr>
            <w:r>
              <w:rPr>
                <w:b w:val="false"/>
                <w:bCs w:val="false"/>
                <w:sz w:val="18"/>
                <w:szCs w:val="18"/>
              </w:rPr>
              <w:t xml:space="preserve">0.9</w:t>
            </w:r>
          </w:p>
        </w:tc>
        <w:tc>
          <w:tcPr>
            <w:tcW w:type="dxa" w:w="2600"/>
            <w:tcMar>
              <w:top w:type="dxa" w:w="60"/>
              <w:left w:type="dxa" w:w="100"/>
              <w:bottom w:type="dxa" w:w="60"/>
              <w:right w:type="dxa" w:w="100"/>
            </w:tcMar>
          </w:tcPr>
          <w:p>
            <w:pPr>
              <w:spacing w:after="0"/>
              <w:jc w:val="center"/>
            </w:pPr>
            <w:r>
              <w:rPr>
                <w:b w:val="false"/>
                <w:bCs w:val="false"/>
                <w:sz w:val="18"/>
                <w:szCs w:val="18"/>
              </w:rPr>
              <w:t xml:space="preserve">41.2</w:t>
            </w:r>
          </w:p>
        </w:tc>
        <w:tc>
          <w:tcPr>
            <w:tcW w:type="dxa" w:w="2726"/>
            <w:tcMar>
              <w:top w:type="dxa" w:w="60"/>
              <w:left w:type="dxa" w:w="100"/>
              <w:bottom w:type="dxa" w:w="60"/>
              <w:right w:type="dxa" w:w="100"/>
            </w:tcMar>
          </w:tcPr>
          <w:p>
            <w:pPr>
              <w:spacing w:after="0"/>
              <w:jc w:val="center"/>
            </w:pPr>
            <w:r>
              <w:rPr>
                <w:b w:val="false"/>
                <w:bCs w:val="false"/>
                <w:sz w:val="18"/>
                <w:szCs w:val="18"/>
              </w:rPr>
              <w:t xml:space="preserve">25.3</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Res. time</w:t>
            </w:r>
          </w:p>
        </w:tc>
        <w:tc>
          <w:tcPr>
            <w:tcW w:type="dxa" w:w="1700"/>
            <w:tcMar>
              <w:top w:type="dxa" w:w="60"/>
              <w:left w:type="dxa" w:w="100"/>
              <w:bottom w:type="dxa" w:w="60"/>
              <w:right w:type="dxa" w:w="100"/>
            </w:tcMar>
          </w:tcPr>
          <w:p>
            <w:pPr>
              <w:spacing w:after="0"/>
              <w:jc w:val="center"/>
            </w:pPr>
            <w:r>
              <w:rPr>
                <w:b w:val="false"/>
                <w:bCs w:val="false"/>
                <w:sz w:val="18"/>
                <w:szCs w:val="18"/>
              </w:rPr>
              <w:t xml:space="preserve">0.8</w:t>
            </w:r>
          </w:p>
        </w:tc>
        <w:tc>
          <w:tcPr>
            <w:tcW w:type="dxa" w:w="2600"/>
            <w:tcMar>
              <w:top w:type="dxa" w:w="60"/>
              <w:left w:type="dxa" w:w="100"/>
              <w:bottom w:type="dxa" w:w="60"/>
              <w:right w:type="dxa" w:w="100"/>
            </w:tcMar>
          </w:tcPr>
          <w:p>
            <w:pPr>
              <w:spacing w:after="0"/>
              <w:jc w:val="center"/>
            </w:pPr>
            <w:r>
              <w:rPr>
                <w:b w:val="false"/>
                <w:bCs w:val="false"/>
                <w:sz w:val="18"/>
                <w:szCs w:val="18"/>
              </w:rPr>
              <w:t xml:space="preserve">30.7</w:t>
            </w:r>
          </w:p>
        </w:tc>
        <w:tc>
          <w:tcPr>
            <w:tcW w:type="dxa" w:w="2726"/>
            <w:tcMar>
              <w:top w:type="dxa" w:w="60"/>
              <w:left w:type="dxa" w:w="100"/>
              <w:bottom w:type="dxa" w:w="60"/>
              <w:right w:type="dxa" w:w="100"/>
            </w:tcMar>
          </w:tcPr>
          <w:p>
            <w:pPr>
              <w:spacing w:after="0"/>
              <w:jc w:val="center"/>
            </w:pPr>
            <w:r>
              <w:rPr>
                <w:b w:val="false"/>
                <w:bCs w:val="false"/>
                <w:sz w:val="18"/>
                <w:szCs w:val="18"/>
              </w:rPr>
              <w:t xml:space="preserve">16.4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[BuOH]</w:t>
            </w:r>
          </w:p>
        </w:tc>
        <w:tc>
          <w:tcPr>
            <w:tcW w:type="dxa" w:w="1700"/>
            <w:tcMar>
              <w:top w:type="dxa" w:w="60"/>
              <w:left w:type="dxa" w:w="100"/>
              <w:bottom w:type="dxa" w:w="60"/>
              <w:right w:type="dxa" w:w="100"/>
            </w:tcMar>
          </w:tcPr>
          <w:p>
            <w:pPr>
              <w:spacing w:after="0"/>
              <w:jc w:val="center"/>
            </w:pPr>
            <w:r>
              <w:rPr>
                <w:b w:val="false"/>
                <w:bCs w:val="false"/>
                <w:sz w:val="18"/>
                <w:szCs w:val="18"/>
              </w:rPr>
              <w:t xml:space="preserve">0.5</w:t>
            </w:r>
          </w:p>
        </w:tc>
        <w:tc>
          <w:tcPr>
            <w:tcW w:type="dxa" w:w="2600"/>
            <w:tcMar>
              <w:top w:type="dxa" w:w="60"/>
              <w:left w:type="dxa" w:w="100"/>
              <w:bottom w:type="dxa" w:w="60"/>
              <w:right w:type="dxa" w:w="100"/>
            </w:tcMar>
          </w:tcPr>
          <w:p>
            <w:pPr>
              <w:spacing w:after="0"/>
              <w:jc w:val="center"/>
            </w:pPr>
            <w:r>
              <w:rPr>
                <w:b w:val="false"/>
                <w:bCs w:val="false"/>
                <w:sz w:val="18"/>
                <w:szCs w:val="18"/>
              </w:rPr>
              <w:t xml:space="preserve">58.8</w:t>
            </w:r>
          </w:p>
        </w:tc>
        <w:tc>
          <w:tcPr>
            <w:tcW w:type="dxa" w:w="2726"/>
            <w:tcMar>
              <w:top w:type="dxa" w:w="60"/>
              <w:left w:type="dxa" w:w="100"/>
              <w:bottom w:type="dxa" w:w="60"/>
              <w:right w:type="dxa" w:w="100"/>
            </w:tcMar>
          </w:tcPr>
          <w:p>
            <w:pPr>
              <w:spacing w:after="0"/>
              <w:jc w:val="center"/>
            </w:pPr>
            <w:r>
              <w:rPr>
                <w:b w:val="false"/>
                <w:bCs w:val="false"/>
                <w:sz w:val="18"/>
                <w:szCs w:val="18"/>
              </w:rPr>
              <w:t xml:space="preserve">12.4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[DMIPP]</w:t>
            </w:r>
          </w:p>
        </w:tc>
        <w:tc>
          <w:tcPr>
            <w:tcW w:type="dxa" w:w="1700"/>
            <w:tcMar>
              <w:top w:type="dxa" w:w="60"/>
              <w:left w:type="dxa" w:w="100"/>
              <w:bottom w:type="dxa" w:w="60"/>
              <w:right w:type="dxa" w:w="100"/>
            </w:tcMar>
          </w:tcPr>
          <w:p>
            <w:pPr>
              <w:spacing w:after="0"/>
              <w:jc w:val="center"/>
            </w:pPr>
            <w:r>
              <w:rPr>
                <w:b w:val="false"/>
                <w:bCs w:val="false"/>
                <w:sz w:val="18"/>
                <w:szCs w:val="18"/>
              </w:rPr>
              <w:t xml:space="preserve">0.9</w:t>
            </w:r>
          </w:p>
        </w:tc>
        <w:tc>
          <w:tcPr>
            <w:tcW w:type="dxa" w:w="2600"/>
            <w:tcMar>
              <w:top w:type="dxa" w:w="60"/>
              <w:left w:type="dxa" w:w="100"/>
              <w:bottom w:type="dxa" w:w="60"/>
              <w:right w:type="dxa" w:w="100"/>
            </w:tcMar>
          </w:tcPr>
          <w:p>
            <w:pPr>
              <w:spacing w:after="0"/>
              <w:jc w:val="center"/>
            </w:pPr>
            <w:r>
              <w:rPr>
                <w:b w:val="false"/>
                <w:bCs w:val="false"/>
                <w:sz w:val="18"/>
                <w:szCs w:val="18"/>
              </w:rPr>
              <w:t xml:space="preserve">11.6</w:t>
            </w:r>
          </w:p>
        </w:tc>
        <w:tc>
          <w:tcPr>
            <w:tcW w:type="dxa" w:w="2726"/>
            <w:tcMar>
              <w:top w:type="dxa" w:w="60"/>
              <w:left w:type="dxa" w:w="100"/>
              <w:bottom w:type="dxa" w:w="60"/>
              <w:right w:type="dxa" w:w="100"/>
            </w:tcMar>
          </w:tcPr>
          <w:p>
            <w:pPr>
              <w:spacing w:after="0"/>
              <w:jc w:val="center"/>
            </w:pPr>
            <w:r>
              <w:rPr>
                <w:b w:val="false"/>
                <w:bCs w:val="false"/>
                <w:sz w:val="18"/>
                <w:szCs w:val="18"/>
              </w:rPr>
              <w:t xml:space="preserve">8.6</w:t>
            </w:r>
          </w:p>
        </w:tc>
      </w:tr>
    </w:tbl>
    <w:p>
      <w:pPr>
        <w:spacing w:after="220" w:before="100"/>
        <w:jc w:val="both"/>
      </w:pPr>
      <w:r>
        <w:rPr>
          <w:b/>
          <w:bCs/>
          <w:sz w:val="18"/>
          <w:szCs w:val="18"/>
        </w:rPr>
        <w:t xml:space="preserve">Table S3. </w:t>
      </w:r>
      <w:r>
        <w:rPr>
          <w:sz w:val="18"/>
          <w:szCs w:val="18"/>
        </w:rPr>
        <w:t xml:space="preserve">Parameter influence, ordered by median effect. Length scales are on the unit cube and comparable to one another.</w:t>
      </w:r>
    </w:p>
    <w:p>
      <w:pPr>
        <w:pStyle w:val="Heading2"/>
        <w:spacing w:after="140" w:before="280"/>
      </w:pPr>
      <w:r>
        <w:t xml:space="preserve">S4.3 The favourable region</w:t>
      </w:r>
    </w:p>
    <w:p>
      <w:pPr>
        <w:spacing w:after="140" w:line="276"/>
        <w:jc w:val="both"/>
      </w:pPr>
      <w:r>
        <w:t xml:space="preserve">Of the feasible space, 3.2 % is favourable — 5,466 conditions. The marginal ranges overstate the region badly: only 23 % of the combinations lying inside them are in fact favourable, so the region is oblique and the parameters cannot be varied independently within the quoted ranges. Conditioned on catalyst loading, it shrinks sharply from 10 to 7.5 mol% and vanishes at 5 mol%.</w:t>
      </w:r>
    </w:p>
    <w:tbl>
      <w:tblPr>
        <w:tblW w:type="dxa" w:w="9026"/>
        <w:tblBorders>
          <w:top w:val="single" w:color="808080" w:sz="6"/>
          <w:left w:val="none"/>
          <w:bottom w:val="single" w:color="808080" w:sz="6"/>
          <w:right w:val="none"/>
          <w:insideH w:val="single" w:color="C8C8C8" w:sz="2"/>
          <w:insideV w:val="none"/>
        </w:tblBorders>
      </w:tblPr>
      <w:tblGrid>
        <w:gridCol w:w="2100"/>
        <w:gridCol w:w="2200"/>
        <w:gridCol w:w="2363"/>
        <w:gridCol w:w="2363"/>
      </w:tblGrid>
      <w:tr>
        <w:trPr>
          <w:tblHeader/>
        </w:trPr>
        <w:tc>
          <w:tcPr>
            <w:tcW w:type="dxa" w:w="2100"/>
            <w:shd w:fill="EDEDED" w:val="clear"/>
            <w:tcMar>
              <w:top w:type="dxa" w:w="60"/>
              <w:left w:type="dxa" w:w="100"/>
              <w:bottom w:type="dxa" w:w="60"/>
              <w:right w:type="dxa" w:w="100"/>
            </w:tcMar>
          </w:tcPr>
          <w:p>
            <w:pPr>
              <w:spacing w:after="0"/>
              <w:jc w:val="left"/>
            </w:pPr>
            <w:r>
              <w:rPr>
                <w:b/>
                <w:bCs/>
                <w:sz w:val="18"/>
                <w:szCs w:val="18"/>
              </w:rPr>
              <w:t xml:space="preserve">Parameter</w:t>
            </w:r>
          </w:p>
        </w:tc>
        <w:tc>
          <w:tcPr>
            <w:tcW w:type="dxa" w:w="2200"/>
            <w:shd w:fill="EDEDED" w:val="clear"/>
            <w:tcMar>
              <w:top w:type="dxa" w:w="60"/>
              <w:left w:type="dxa" w:w="100"/>
              <w:bottom w:type="dxa" w:w="60"/>
              <w:right w:type="dxa" w:w="100"/>
            </w:tcMar>
          </w:tcPr>
          <w:p>
            <w:pPr>
              <w:spacing w:after="0"/>
              <w:jc w:val="center"/>
            </w:pPr>
            <w:r>
              <w:rPr>
                <w:b/>
                <w:bCs/>
                <w:sz w:val="18"/>
                <w:szCs w:val="18"/>
              </w:rPr>
              <w:t xml:space="preserve">All</w:t>
            </w:r>
          </w:p>
        </w:tc>
        <w:tc>
          <w:tcPr>
            <w:tcW w:type="dxa" w:w="2363"/>
            <w:shd w:fill="EDEDED" w:val="clear"/>
            <w:tcMar>
              <w:top w:type="dxa" w:w="60"/>
              <w:left w:type="dxa" w:w="100"/>
              <w:bottom w:type="dxa" w:w="60"/>
              <w:right w:type="dxa" w:w="100"/>
            </w:tcMar>
          </w:tcPr>
          <w:p>
            <w:pPr>
              <w:spacing w:after="0"/>
              <w:jc w:val="center"/>
            </w:pPr>
            <w:r>
              <w:rPr>
                <w:b/>
                <w:bCs/>
                <w:sz w:val="18"/>
                <w:szCs w:val="18"/>
              </w:rPr>
              <w:t xml:space="preserve">Cat. = 7.5 mol%</w:t>
            </w:r>
          </w:p>
          <w:p>
            <w:pPr>
              <w:spacing w:after="0"/>
              <w:jc w:val="center"/>
            </w:pPr>
            <w:r>
              <w:rPr>
                <w:b/>
                <w:bCs/>
                <w:sz w:val="18"/>
                <w:szCs w:val="18"/>
              </w:rPr>
              <w:t xml:space="preserve">(614)</w:t>
            </w:r>
          </w:p>
        </w:tc>
        <w:tc>
          <w:tcPr>
            <w:tcW w:type="dxa" w:w="2363"/>
            <w:shd w:fill="EDEDED" w:val="clear"/>
            <w:tcMar>
              <w:top w:type="dxa" w:w="60"/>
              <w:left w:type="dxa" w:w="100"/>
              <w:bottom w:type="dxa" w:w="60"/>
              <w:right w:type="dxa" w:w="100"/>
            </w:tcMar>
          </w:tcPr>
          <w:p>
            <w:pPr>
              <w:spacing w:after="0"/>
              <w:jc w:val="center"/>
            </w:pPr>
            <w:r>
              <w:rPr>
                <w:b/>
                <w:bCs/>
                <w:sz w:val="18"/>
                <w:szCs w:val="18"/>
              </w:rPr>
              <w:t xml:space="preserve">Cat. = 10 mol%</w:t>
            </w:r>
          </w:p>
          <w:p>
            <w:pPr>
              <w:spacing w:after="0"/>
              <w:jc w:val="center"/>
            </w:pPr>
            <w:r>
              <w:rPr>
                <w:b/>
                <w:bCs/>
                <w:sz w:val="18"/>
                <w:szCs w:val="18"/>
              </w:rPr>
              <w:t xml:space="preserve">(4,852)</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[DMIPP]</w:t>
            </w:r>
          </w:p>
        </w:tc>
        <w:tc>
          <w:tcPr>
            <w:tcW w:type="dxa" w:w="2200"/>
            <w:tcMar>
              <w:top w:type="dxa" w:w="60"/>
              <w:left w:type="dxa" w:w="100"/>
              <w:bottom w:type="dxa" w:w="60"/>
              <w:right w:type="dxa" w:w="100"/>
            </w:tcMar>
          </w:tcPr>
          <w:p>
            <w:pPr>
              <w:spacing w:after="0"/>
              <w:jc w:val="center"/>
            </w:pPr>
            <w:r>
              <w:rPr>
                <w:b w:val="false"/>
                <w:bCs w:val="false"/>
                <w:sz w:val="18"/>
                <w:szCs w:val="18"/>
              </w:rPr>
              <w:t xml:space="preserve">1 to 4.8</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2.6</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4.8</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[BuOH]</w:t>
            </w:r>
          </w:p>
        </w:tc>
        <w:tc>
          <w:tcPr>
            <w:tcW w:type="dxa" w:w="2200"/>
            <w:tcMar>
              <w:top w:type="dxa" w:w="60"/>
              <w:left w:type="dxa" w:w="100"/>
              <w:bottom w:type="dxa" w:w="60"/>
              <w:right w:type="dxa" w:w="100"/>
            </w:tcMar>
          </w:tcPr>
          <w:p>
            <w:pPr>
              <w:spacing w:after="0"/>
              <w:jc w:val="center"/>
            </w:pPr>
            <w:r>
              <w:rPr>
                <w:b w:val="false"/>
                <w:bCs w:val="false"/>
                <w:sz w:val="18"/>
                <w:szCs w:val="18"/>
              </w:rPr>
              <w:t xml:space="preserve">1 to 7.6</w:t>
            </w:r>
          </w:p>
        </w:tc>
        <w:tc>
          <w:tcPr>
            <w:tcW w:type="dxa" w:w="2363"/>
            <w:tcMar>
              <w:top w:type="dxa" w:w="60"/>
              <w:left w:type="dxa" w:w="100"/>
              <w:bottom w:type="dxa" w:w="60"/>
              <w:right w:type="dxa" w:w="100"/>
            </w:tcMar>
          </w:tcPr>
          <w:p>
            <w:pPr>
              <w:spacing w:after="0"/>
              <w:jc w:val="center"/>
            </w:pPr>
            <w:r>
              <w:rPr>
                <w:b w:val="false"/>
                <w:bCs w:val="false"/>
                <w:sz w:val="18"/>
                <w:szCs w:val="18"/>
              </w:rPr>
              <w:t xml:space="preserve">1.4 to 4.8</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7.6</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Cat. loading</w:t>
            </w:r>
          </w:p>
        </w:tc>
        <w:tc>
          <w:tcPr>
            <w:tcW w:type="dxa" w:w="2200"/>
            <w:tcMar>
              <w:top w:type="dxa" w:w="60"/>
              <w:left w:type="dxa" w:w="100"/>
              <w:bottom w:type="dxa" w:w="60"/>
              <w:right w:type="dxa" w:w="100"/>
            </w:tcMar>
          </w:tcPr>
          <w:p>
            <w:pPr>
              <w:spacing w:after="0"/>
              <w:jc w:val="center"/>
            </w:pPr>
            <w:r>
              <w:rPr>
                <w:b w:val="false"/>
                <w:bCs w:val="false"/>
                <w:sz w:val="18"/>
                <w:szCs w:val="18"/>
              </w:rPr>
              <w:t xml:space="preserve">7.5, 10</w:t>
            </w:r>
          </w:p>
        </w:tc>
        <w:tc>
          <w:tcPr>
            <w:tcW w:type="dxa" w:w="2363"/>
            <w:tcMar>
              <w:top w:type="dxa" w:w="60"/>
              <w:left w:type="dxa" w:w="100"/>
              <w:bottom w:type="dxa" w:w="60"/>
              <w:right w:type="dxa" w:w="100"/>
            </w:tcMar>
          </w:tcPr>
          <w:p>
            <w:pPr>
              <w:spacing w:after="0"/>
              <w:jc w:val="center"/>
            </w:pPr>
            <w:r>
              <w:rPr>
                <w:b w:val="false"/>
                <w:bCs w:val="false"/>
                <w:sz w:val="18"/>
                <w:szCs w:val="18"/>
              </w:rPr>
              <w:t xml:space="preserve">7.5</w:t>
            </w:r>
          </w:p>
        </w:tc>
        <w:tc>
          <w:tcPr>
            <w:tcW w:type="dxa" w:w="2363"/>
            <w:tcMar>
              <w:top w:type="dxa" w:w="60"/>
              <w:left w:type="dxa" w:w="100"/>
              <w:bottom w:type="dxa" w:w="60"/>
              <w:right w:type="dxa" w:w="100"/>
            </w:tcMar>
          </w:tcPr>
          <w:p>
            <w:pPr>
              <w:spacing w:after="0"/>
              <w:jc w:val="center"/>
            </w:pPr>
            <w:r>
              <w:rPr>
                <w:b w:val="false"/>
                <w:bCs w:val="false"/>
                <w:sz w:val="18"/>
                <w:szCs w:val="18"/>
              </w:rPr>
              <w:t xml:space="preserve">10</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Temperature</w:t>
            </w:r>
          </w:p>
        </w:tc>
        <w:tc>
          <w:tcPr>
            <w:tcW w:type="dxa" w:w="2200"/>
            <w:tcMar>
              <w:top w:type="dxa" w:w="60"/>
              <w:left w:type="dxa" w:w="100"/>
              <w:bottom w:type="dxa" w:w="60"/>
              <w:right w:type="dxa" w:w="100"/>
            </w:tcMar>
          </w:tcPr>
          <w:p>
            <w:pPr>
              <w:spacing w:after="0"/>
              <w:jc w:val="center"/>
            </w:pPr>
            <w:r>
              <w:rPr>
                <w:b w:val="false"/>
                <w:bCs w:val="false"/>
                <w:sz w:val="18"/>
                <w:szCs w:val="18"/>
              </w:rPr>
              <w:t xml:space="preserve">50 to 75</w:t>
            </w:r>
          </w:p>
        </w:tc>
        <w:tc>
          <w:tcPr>
            <w:tcW w:type="dxa" w:w="2363"/>
            <w:tcMar>
              <w:top w:type="dxa" w:w="60"/>
              <w:left w:type="dxa" w:w="100"/>
              <w:bottom w:type="dxa" w:w="60"/>
              <w:right w:type="dxa" w:w="100"/>
            </w:tcMar>
          </w:tcPr>
          <w:p>
            <w:pPr>
              <w:spacing w:after="0"/>
              <w:jc w:val="center"/>
            </w:pPr>
            <w:r>
              <w:rPr>
                <w:b w:val="false"/>
                <w:bCs w:val="false"/>
                <w:sz w:val="18"/>
                <w:szCs w:val="18"/>
              </w:rPr>
              <w:t xml:space="preserve">55, 60, 65, 70, 75</w:t>
            </w:r>
          </w:p>
        </w:tc>
        <w:tc>
          <w:tcPr>
            <w:tcW w:type="dxa" w:w="2363"/>
            <w:tcMar>
              <w:top w:type="dxa" w:w="60"/>
              <w:left w:type="dxa" w:w="100"/>
              <w:bottom w:type="dxa" w:w="60"/>
              <w:right w:type="dxa" w:w="100"/>
            </w:tcMar>
          </w:tcPr>
          <w:p>
            <w:pPr>
              <w:spacing w:after="0"/>
              <w:jc w:val="center"/>
            </w:pPr>
            <w:r>
              <w:rPr>
                <w:b w:val="false"/>
                <w:bCs w:val="false"/>
                <w:sz w:val="18"/>
                <w:szCs w:val="18"/>
              </w:rPr>
              <w:t xml:space="preserve">50 to 75</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Res. time</w:t>
            </w:r>
          </w:p>
        </w:tc>
        <w:tc>
          <w:tcPr>
            <w:tcW w:type="dxa" w:w="2200"/>
            <w:tcMar>
              <w:top w:type="dxa" w:w="60"/>
              <w:left w:type="dxa" w:w="100"/>
              <w:bottom w:type="dxa" w:w="60"/>
              <w:right w:type="dxa" w:w="100"/>
            </w:tcMar>
          </w:tcPr>
          <w:p>
            <w:pPr>
              <w:spacing w:after="0"/>
              <w:jc w:val="center"/>
            </w:pPr>
            <w:r>
              <w:rPr>
                <w:b w:val="false"/>
                <w:bCs w:val="false"/>
                <w:sz w:val="18"/>
                <w:szCs w:val="18"/>
              </w:rPr>
              <w:t xml:space="preserve">1, 1.5, 2, 2.5</w:t>
            </w:r>
          </w:p>
        </w:tc>
        <w:tc>
          <w:tcPr>
            <w:tcW w:type="dxa" w:w="2363"/>
            <w:tcMar>
              <w:top w:type="dxa" w:w="60"/>
              <w:left w:type="dxa" w:w="100"/>
              <w:bottom w:type="dxa" w:w="60"/>
              <w:right w:type="dxa" w:w="100"/>
            </w:tcMar>
          </w:tcPr>
          <w:p>
            <w:pPr>
              <w:spacing w:after="0"/>
              <w:jc w:val="center"/>
            </w:pPr>
            <w:r>
              <w:rPr>
                <w:b w:val="false"/>
                <w:bCs w:val="false"/>
                <w:sz w:val="18"/>
                <w:szCs w:val="18"/>
              </w:rPr>
              <w:t xml:space="preserve">1.5, 2</w:t>
            </w:r>
          </w:p>
        </w:tc>
        <w:tc>
          <w:tcPr>
            <w:tcW w:type="dxa" w:w="2363"/>
            <w:tcMar>
              <w:top w:type="dxa" w:w="60"/>
              <w:left w:type="dxa" w:w="100"/>
              <w:bottom w:type="dxa" w:w="60"/>
              <w:right w:type="dxa" w:w="100"/>
            </w:tcMar>
          </w:tcPr>
          <w:p>
            <w:pPr>
              <w:spacing w:after="0"/>
              <w:jc w:val="center"/>
            </w:pPr>
            <w:r>
              <w:rPr>
                <w:b w:val="false"/>
                <w:bCs w:val="false"/>
                <w:sz w:val="18"/>
                <w:szCs w:val="18"/>
              </w:rPr>
              <w:t xml:space="preserve">1, 1.5, 2, 2.5</w:t>
            </w:r>
          </w:p>
        </w:tc>
      </w:tr>
    </w:tbl>
    <w:p>
      <w:pPr>
        <w:spacing w:after="220" w:before="100"/>
        <w:jc w:val="both"/>
      </w:pPr>
      <w:r>
        <w:rPr>
          <w:b/>
          <w:bCs/>
          <w:sz w:val="18"/>
          <w:szCs w:val="18"/>
        </w:rPr>
        <w:t xml:space="preserve">Table S4. </w:t>
      </w:r>
      <w:r>
        <w:rPr>
          <w:sz w:val="18"/>
          <w:szCs w:val="18"/>
        </w:rPr>
        <w:t xml:space="preserve">Extent of the favourable region, overall and conditioned on catalyst loading. No favourable condition was found at 5 mol%.</w:t>
      </w:r>
    </w:p>
    <w:p>
      <w:pPr>
        <w:spacing w:after="80" w:before="200"/>
        <w:jc w:val="center"/>
      </w:pPr>
      <w:r>
        <w:drawing>
          <wp:inline distT="0" distB="0" distL="0" distR="0">
            <wp:extent cx="58102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3238500"/>
                    </a:xfrm>
                    <a:prstGeom prst="rect">
                      <a:avLst/>
                    </a:prstGeom>
                  </pic:spPr>
                </pic:pic>
              </a:graphicData>
            </a:graphic>
          </wp:inline>
        </w:drawing>
      </w:r>
    </w:p>
    <w:p>
      <w:pPr>
        <w:spacing w:after="220" w:before="100"/>
        <w:jc w:val="both"/>
      </w:pPr>
      <w:r>
        <w:rPr>
          <w:b/>
          <w:bCs/>
          <w:sz w:val="18"/>
          <w:szCs w:val="18"/>
        </w:rPr>
        <w:t xml:space="preserve">Figure S1. </w:t>
      </w:r>
      <w:r>
        <w:rPr>
          <w:sz w:val="18"/>
          <w:szCs w:val="18"/>
        </w:rPr>
        <w:t xml:space="preserve">Predicted yield (top) and posterior standard deviation (bottom), sliced through the predicted optimum with the two remaining parameters held there (10.0 mol%, 1.5 min). White contours: 70 % and 15 percentage points. Grey: forbidden by [DMIPP] ≤ [BuOH], whose extent depends on where the other concentration is held. Star, predicted optimum; large circle, best experiment; small circles, the nineteen experiments projected onto the plane of each panel, not lying in it.</w:t>
      </w:r>
    </w:p>
    <w:p>
      <w:pPr>
        <w:pStyle w:val="Heading2"/>
        <w:spacing w:after="140" w:before="280"/>
      </w:pPr>
      <w:r>
        <w:t xml:space="preserve">S4.4 Structure of the favourable region</w:t>
      </w:r>
    </w:p>
    <w:p>
      <w:pPr>
        <w:spacing w:after="140" w:line="276"/>
        <w:jc w:val="both"/>
      </w:pPr>
      <w:r>
        <w:t xml:space="preserve">The principal-component projection of the favourable conditions (Figure S2) shows parallel bands that read as separate clusters. Colouring the same projection by temperature identifies them as one band per temperature level, PC2 loading 0.97 on temperature: they are the grid, not disconnected chemistry. Counting rather than looking settles the question — with two conditions called adjacent when they differ by one increment in exactly one parameter, the 5,466 favourable conditions form a single connected component.</w:t>
      </w:r>
    </w:p>
    <w:p>
      <w:pPr>
        <w:spacing w:after="80" w:before="200"/>
        <w:jc w:val="center"/>
      </w:pPr>
      <w:r>
        <w:drawing>
          <wp:inline distT="0" distB="0" distL="0" distR="0">
            <wp:extent cx="5810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66975"/>
                    </a:xfrm>
                    <a:prstGeom prst="rect">
                      <a:avLst/>
                    </a:prstGeom>
                  </pic:spPr>
                </pic:pic>
              </a:graphicData>
            </a:graphic>
          </wp:inline>
        </w:drawing>
      </w:r>
    </w:p>
    <w:p>
      <w:pPr>
        <w:spacing w:after="220" w:before="100"/>
        <w:jc w:val="both"/>
      </w:pPr>
      <w:r>
        <w:rPr>
          <w:b/>
          <w:bCs/>
          <w:sz w:val="18"/>
          <w:szCs w:val="18"/>
        </w:rPr>
        <w:t xml:space="preserve">Figure S2. </w:t>
      </w:r>
      <w:r>
        <w:rPr>
          <w:sz w:val="18"/>
          <w:szCs w:val="18"/>
        </w:rPr>
        <w:t xml:space="preserve">The favourable region projected onto the first two principal components of ([DMIPP], [BuOH], temperature), 56 % and 29 % of the variance; coloured by predicted yield (left) and by temperature (right).</w:t>
      </w:r>
    </w:p>
    <w:p>
      <w:pPr>
        <w:pStyle w:val="Heading2"/>
        <w:spacing w:after="140" w:before="280"/>
      </w:pPr>
      <w:r>
        <w:t xml:space="preserve">S4.5 Conditions proposed for confirmation</w:t>
      </w:r>
    </w:p>
    <w:p>
      <w:pPr>
        <w:spacing w:after="140" w:line="276"/>
        <w:jc w:val="both"/>
      </w:pPr>
      <w:r>
        <w:t xml:space="preserve">A restriction is not required to clear the 70 % threshold: a low predicted yield with a small σ is the model asserting that the restriction costs yield, which is as useful as a high one. At 5 mol% the best available is 49.3 % with σ = 14.8, at the edge of what was accepted. Had no point in a region met the cap, the restriction would have returned nothing — indicating a region the campaign never explored closely enough for the surrogate to commit; that did not arise here.</w:t>
      </w:r>
    </w:p>
    <w:tbl>
      <w:tblPr>
        <w:tblW w:type="dxa" w:w="9026"/>
        <w:tblBorders>
          <w:top w:val="single" w:color="808080" w:sz="6"/>
          <w:left w:val="none"/>
          <w:bottom w:val="single" w:color="808080" w:sz="6"/>
          <w:right w:val="none"/>
          <w:insideH w:val="single" w:color="C8C8C8" w:sz="2"/>
          <w:insideV w:val="none"/>
        </w:tblBorders>
      </w:tblPr>
      <w:tblGrid>
        <w:gridCol w:w="2500"/>
        <w:gridCol w:w="900"/>
        <w:gridCol w:w="900"/>
        <w:gridCol w:w="900"/>
        <w:gridCol w:w="780"/>
        <w:gridCol w:w="780"/>
        <w:gridCol w:w="1266"/>
        <w:gridCol w:w="1000"/>
      </w:tblGrid>
      <w:tr>
        <w:trPr>
          <w:tblHeader/>
        </w:trPr>
        <w:tc>
          <w:tcPr>
            <w:tcW w:type="dxa" w:w="2500"/>
            <w:shd w:fill="EDEDED" w:val="clear"/>
            <w:tcMar>
              <w:top w:type="dxa" w:w="60"/>
              <w:left w:type="dxa" w:w="100"/>
              <w:bottom w:type="dxa" w:w="60"/>
              <w:right w:type="dxa" w:w="100"/>
            </w:tcMar>
          </w:tcPr>
          <w:p>
            <w:pPr>
              <w:spacing w:after="0"/>
              <w:jc w:val="left"/>
            </w:pPr>
            <w:r>
              <w:rPr>
                <w:b/>
                <w:bCs/>
                <w:sz w:val="18"/>
                <w:szCs w:val="18"/>
              </w:rPr>
              <w:t xml:space="preserve">Restriction</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[DMIPP]</w:t>
            </w:r>
          </w:p>
          <w:p>
            <w:pPr>
              <w:spacing w:after="0"/>
              <w:jc w:val="center"/>
            </w:pPr>
            <w:r>
              <w:rPr>
                <w:b/>
                <w:bCs/>
                <w:sz w:val="18"/>
                <w:szCs w:val="18"/>
              </w:rPr>
              <w:t xml:space="preserve">(M)</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[BuOH]</w:t>
            </w:r>
          </w:p>
          <w:p>
            <w:pPr>
              <w:spacing w:after="0"/>
              <w:jc w:val="center"/>
            </w:pPr>
            <w:r>
              <w:rPr>
                <w:b/>
                <w:bCs/>
                <w:sz w:val="18"/>
                <w:szCs w:val="18"/>
              </w:rPr>
              <w:t xml:space="preserve">(M)</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Cat.</w:t>
            </w:r>
          </w:p>
          <w:p>
            <w:pPr>
              <w:spacing w:after="0"/>
              <w:jc w:val="center"/>
            </w:pPr>
            <w:r>
              <w:rPr>
                <w:b/>
                <w:bCs/>
                <w:sz w:val="18"/>
                <w:szCs w:val="18"/>
              </w:rPr>
              <w:t xml:space="preserve">(mol%)</w:t>
            </w:r>
          </w:p>
        </w:tc>
        <w:tc>
          <w:tcPr>
            <w:tcW w:type="dxa" w:w="78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(°C)</w:t>
            </w:r>
          </w:p>
        </w:tc>
        <w:tc>
          <w:tcPr>
            <w:tcW w:type="dxa" w:w="78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(min)</w:t>
            </w:r>
          </w:p>
        </w:tc>
        <w:tc>
          <w:tcPr>
            <w:tcW w:type="dxa" w:w="1266"/>
            <w:shd w:fill="EDEDED" w:val="clear"/>
            <w:tcMar>
              <w:top w:type="dxa" w:w="60"/>
              <w:left w:type="dxa" w:w="100"/>
              <w:bottom w:type="dxa" w:w="60"/>
              <w:right w:type="dxa" w:w="100"/>
            </w:tcMar>
          </w:tcPr>
          <w:p>
            <w:pPr>
              <w:spacing w:after="0"/>
              <w:jc w:val="center"/>
            </w:pPr>
            <w:r>
              <w:rPr>
                <w:b/>
                <w:bCs/>
                <w:sz w:val="18"/>
                <w:szCs w:val="18"/>
              </w:rPr>
              <w:t xml:space="preserve">Predicted</w:t>
            </w:r>
          </w:p>
          <w:p>
            <w:pPr>
              <w:spacing w:after="0"/>
              <w:jc w:val="center"/>
            </w:pPr>
            <w:r>
              <w:rPr>
                <w:b/>
                <w:bCs/>
                <w:sz w:val="18"/>
                <w:szCs w:val="18"/>
              </w:rPr>
              <w:t xml:space="preserve">yield (%)</w:t>
            </w:r>
          </w:p>
        </w:tc>
        <w:tc>
          <w:tcPr>
            <w:tcW w:type="dxa" w:w="1000"/>
            <w:shd w:fill="EDEDED" w:val="clear"/>
            <w:tcMar>
              <w:top w:type="dxa" w:w="60"/>
              <w:left w:type="dxa" w:w="100"/>
              <w:bottom w:type="dxa" w:w="60"/>
              <w:right w:type="dxa" w:w="100"/>
            </w:tcMar>
          </w:tcPr>
          <w:p>
            <w:pPr>
              <w:spacing w:after="0"/>
              <w:jc w:val="center"/>
            </w:pPr>
            <w:r>
              <w:rPr>
                <w:b/>
                <w:bCs/>
                <w:sz w:val="18"/>
                <w:szCs w:val="18"/>
              </w:rPr>
              <w:t xml:space="preserve">σ</w:t>
            </w:r>
          </w:p>
          <w:p>
            <w:pPr>
              <w:spacing w:after="0"/>
              <w:jc w:val="center"/>
            </w:pPr>
            <w:r>
              <w:rPr>
                <w:b/>
                <w:bCs/>
                <w:sz w:val="18"/>
                <w:szCs w:val="18"/>
              </w:rPr>
              <w:t xml:space="preserve">(pts)</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Global optimum</w:t>
            </w:r>
          </w:p>
        </w:tc>
        <w:tc>
          <w:tcPr>
            <w:tcW w:type="dxa" w:w="900"/>
            <w:tcMar>
              <w:top w:type="dxa" w:w="60"/>
              <w:left w:type="dxa" w:w="100"/>
              <w:bottom w:type="dxa" w:w="60"/>
              <w:right w:type="dxa" w:w="100"/>
            </w:tcMar>
          </w:tcPr>
          <w:p>
            <w:pPr>
              <w:spacing w:after="0"/>
              <w:jc w:val="center"/>
            </w:pPr>
            <w:r>
              <w:rPr>
                <w:b w:val="false"/>
                <w:bCs w:val="false"/>
                <w:sz w:val="18"/>
                <w:szCs w:val="18"/>
              </w:rPr>
              <w:t xml:space="preserve">1.2</w:t>
            </w:r>
          </w:p>
        </w:tc>
        <w:tc>
          <w:tcPr>
            <w:tcW w:type="dxa" w:w="900"/>
            <w:tcMar>
              <w:top w:type="dxa" w:w="60"/>
              <w:left w:type="dxa" w:w="100"/>
              <w:bottom w:type="dxa" w:w="60"/>
              <w:right w:type="dxa" w:w="100"/>
            </w:tcMar>
          </w:tcPr>
          <w:p>
            <w:pPr>
              <w:spacing w:after="0"/>
              <w:jc w:val="center"/>
            </w:pPr>
            <w:r>
              <w:rPr>
                <w:b w:val="false"/>
                <w:bCs w:val="false"/>
                <w:sz w:val="18"/>
                <w:szCs w:val="18"/>
              </w:rPr>
              <w:t xml:space="preserve">3.4</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87.8</w:t>
            </w:r>
          </w:p>
        </w:tc>
        <w:tc>
          <w:tcPr>
            <w:tcW w:type="dxa" w:w="1000"/>
            <w:tcMar>
              <w:top w:type="dxa" w:w="60"/>
              <w:left w:type="dxa" w:w="100"/>
              <w:bottom w:type="dxa" w:w="60"/>
              <w:right w:type="dxa" w:w="100"/>
            </w:tcMar>
          </w:tcPr>
          <w:p>
            <w:pPr>
              <w:spacing w:after="0"/>
              <w:jc w:val="center"/>
            </w:pPr>
            <w:r>
              <w:rPr>
                <w:b w:val="false"/>
                <w:bCs w:val="false"/>
                <w:sz w:val="18"/>
                <w:szCs w:val="18"/>
              </w:rPr>
              <w:t xml:space="preserve">3.2</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Catalyst 5 mol%</w:t>
            </w:r>
          </w:p>
        </w:tc>
        <w:tc>
          <w:tcPr>
            <w:tcW w:type="dxa" w:w="900"/>
            <w:tcMar>
              <w:top w:type="dxa" w:w="60"/>
              <w:left w:type="dxa" w:w="100"/>
              <w:bottom w:type="dxa" w:w="60"/>
              <w:right w:type="dxa" w:w="100"/>
            </w:tcMar>
          </w:tcPr>
          <w:p>
            <w:pPr>
              <w:spacing w:after="0"/>
              <w:jc w:val="center"/>
            </w:pPr>
            <w:r>
              <w:rPr>
                <w:b w:val="false"/>
                <w:bCs w:val="false"/>
                <w:sz w:val="18"/>
                <w:szCs w:val="18"/>
              </w:rPr>
              <w:t xml:space="preserve">1.0</w:t>
            </w:r>
          </w:p>
        </w:tc>
        <w:tc>
          <w:tcPr>
            <w:tcW w:type="dxa" w:w="900"/>
            <w:tcMar>
              <w:top w:type="dxa" w:w="60"/>
              <w:left w:type="dxa" w:w="100"/>
              <w:bottom w:type="dxa" w:w="60"/>
              <w:right w:type="dxa" w:w="100"/>
            </w:tcMar>
          </w:tcPr>
          <w:p>
            <w:pPr>
              <w:spacing w:after="0"/>
              <w:jc w:val="center"/>
            </w:pPr>
            <w:r>
              <w:rPr>
                <w:b w:val="false"/>
                <w:bCs w:val="false"/>
                <w:sz w:val="18"/>
                <w:szCs w:val="18"/>
              </w:rPr>
              <w:t xml:space="preserve">3.6</w:t>
            </w:r>
          </w:p>
        </w:tc>
        <w:tc>
          <w:tcPr>
            <w:tcW w:type="dxa" w:w="900"/>
            <w:tcMar>
              <w:top w:type="dxa" w:w="60"/>
              <w:left w:type="dxa" w:w="100"/>
              <w:bottom w:type="dxa" w:w="60"/>
              <w:right w:type="dxa" w:w="100"/>
            </w:tcMar>
          </w:tcPr>
          <w:p>
            <w:pPr>
              <w:spacing w:after="0"/>
              <w:jc w:val="center"/>
            </w:pPr>
            <w:r>
              <w:rPr>
                <w:b w:val="false"/>
                <w:bCs w:val="false"/>
                <w:sz w:val="18"/>
                <w:szCs w:val="18"/>
              </w:rPr>
              <w:t xml:space="preserve">5.0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2.0</w:t>
            </w:r>
          </w:p>
        </w:tc>
        <w:tc>
          <w:tcPr>
            <w:tcW w:type="dxa" w:w="1266"/>
            <w:tcMar>
              <w:top w:type="dxa" w:w="60"/>
              <w:left w:type="dxa" w:w="100"/>
              <w:bottom w:type="dxa" w:w="60"/>
              <w:right w:type="dxa" w:w="100"/>
            </w:tcMar>
          </w:tcPr>
          <w:p>
            <w:pPr>
              <w:spacing w:after="0"/>
              <w:jc w:val="center"/>
            </w:pPr>
            <w:r>
              <w:rPr>
                <w:b w:val="false"/>
                <w:bCs w:val="false"/>
                <w:sz w:val="18"/>
                <w:szCs w:val="18"/>
              </w:rPr>
              <w:t xml:space="preserve">49.3</w:t>
            </w:r>
          </w:p>
        </w:tc>
        <w:tc>
          <w:tcPr>
            <w:tcW w:type="dxa" w:w="1000"/>
            <w:tcMar>
              <w:top w:type="dxa" w:w="60"/>
              <w:left w:type="dxa" w:w="100"/>
              <w:bottom w:type="dxa" w:w="60"/>
              <w:right w:type="dxa" w:w="100"/>
            </w:tcMar>
          </w:tcPr>
          <w:p>
            <w:pPr>
              <w:spacing w:after="0"/>
              <w:jc w:val="center"/>
            </w:pPr>
            <w:r>
              <w:rPr>
                <w:b w:val="false"/>
                <w:bCs w:val="false"/>
                <w:sz w:val="18"/>
                <w:szCs w:val="18"/>
              </w:rPr>
              <w:t xml:space="preserve">14.8</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Catalyst 7.5 mol%</w:t>
            </w:r>
          </w:p>
        </w:tc>
        <w:tc>
          <w:tcPr>
            <w:tcW w:type="dxa" w:w="900"/>
            <w:tcMar>
              <w:top w:type="dxa" w:w="60"/>
              <w:left w:type="dxa" w:w="100"/>
              <w:bottom w:type="dxa" w:w="60"/>
              <w:right w:type="dxa" w:w="100"/>
            </w:tcMar>
          </w:tcPr>
          <w:p>
            <w:pPr>
              <w:spacing w:after="0"/>
              <w:jc w:val="center"/>
            </w:pPr>
            <w:r>
              <w:rPr>
                <w:b w:val="false"/>
                <w:bCs w:val="false"/>
                <w:sz w:val="18"/>
                <w:szCs w:val="18"/>
              </w:rPr>
              <w:t xml:space="preserve">1.0</w:t>
            </w:r>
          </w:p>
        </w:tc>
        <w:tc>
          <w:tcPr>
            <w:tcW w:type="dxa" w:w="900"/>
            <w:tcMar>
              <w:top w:type="dxa" w:w="60"/>
              <w:left w:type="dxa" w:w="100"/>
              <w:bottom w:type="dxa" w:w="60"/>
              <w:right w:type="dxa" w:w="100"/>
            </w:tcMar>
          </w:tcPr>
          <w:p>
            <w:pPr>
              <w:spacing w:after="0"/>
              <w:jc w:val="center"/>
            </w:pPr>
            <w:r>
              <w:rPr>
                <w:b w:val="false"/>
                <w:bCs w:val="false"/>
                <w:sz w:val="18"/>
                <w:szCs w:val="18"/>
              </w:rPr>
              <w:t xml:space="preserve">3.2</w:t>
            </w:r>
          </w:p>
        </w:tc>
        <w:tc>
          <w:tcPr>
            <w:tcW w:type="dxa" w:w="900"/>
            <w:tcMar>
              <w:top w:type="dxa" w:w="60"/>
              <w:left w:type="dxa" w:w="100"/>
              <w:bottom w:type="dxa" w:w="60"/>
              <w:right w:type="dxa" w:w="100"/>
            </w:tcMar>
          </w:tcPr>
          <w:p>
            <w:pPr>
              <w:spacing w:after="0"/>
              <w:jc w:val="center"/>
            </w:pPr>
            <w:r>
              <w:rPr>
                <w:b w:val="false"/>
                <w:bCs w:val="false"/>
                <w:sz w:val="18"/>
                <w:szCs w:val="18"/>
              </w:rPr>
              <w:t xml:space="preserve">7.5</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2.0</w:t>
            </w:r>
          </w:p>
        </w:tc>
        <w:tc>
          <w:tcPr>
            <w:tcW w:type="dxa" w:w="1266"/>
            <w:tcMar>
              <w:top w:type="dxa" w:w="60"/>
              <w:left w:type="dxa" w:w="100"/>
              <w:bottom w:type="dxa" w:w="60"/>
              <w:right w:type="dxa" w:w="100"/>
            </w:tcMar>
          </w:tcPr>
          <w:p>
            <w:pPr>
              <w:spacing w:after="0"/>
              <w:jc w:val="center"/>
            </w:pPr>
            <w:r>
              <w:rPr>
                <w:b w:val="false"/>
                <w:bCs w:val="false"/>
                <w:sz w:val="18"/>
                <w:szCs w:val="18"/>
              </w:rPr>
              <w:t xml:space="preserve">76.3</w:t>
            </w:r>
          </w:p>
        </w:tc>
        <w:tc>
          <w:tcPr>
            <w:tcW w:type="dxa" w:w="1000"/>
            <w:tcMar>
              <w:top w:type="dxa" w:w="60"/>
              <w:left w:type="dxa" w:w="100"/>
              <w:bottom w:type="dxa" w:w="60"/>
              <w:right w:type="dxa" w:w="100"/>
            </w:tcMar>
          </w:tcPr>
          <w:p>
            <w:pPr>
              <w:spacing w:after="0"/>
              <w:jc w:val="center"/>
            </w:pPr>
            <w:r>
              <w:rPr>
                <w:b w:val="false"/>
                <w:bCs w:val="false"/>
                <w:sz w:val="18"/>
                <w:szCs w:val="18"/>
              </w:rPr>
              <w:t xml:space="preserve">9.3</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[DMIPP] ≥ 5.5 M</w:t>
            </w:r>
          </w:p>
        </w:tc>
        <w:tc>
          <w:tcPr>
            <w:tcW w:type="dxa" w:w="900"/>
            <w:tcMar>
              <w:top w:type="dxa" w:w="60"/>
              <w:left w:type="dxa" w:w="100"/>
              <w:bottom w:type="dxa" w:w="60"/>
              <w:right w:type="dxa" w:w="100"/>
            </w:tcMar>
          </w:tcPr>
          <w:p>
            <w:pPr>
              <w:spacing w:after="0"/>
              <w:jc w:val="center"/>
            </w:pPr>
            <w:r>
              <w:rPr>
                <w:b w:val="false"/>
                <w:bCs w:val="false"/>
                <w:sz w:val="18"/>
                <w:szCs w:val="18"/>
              </w:rPr>
              <w:t xml:space="preserve">5.6</w:t>
            </w:r>
          </w:p>
        </w:tc>
        <w:tc>
          <w:tcPr>
            <w:tcW w:type="dxa" w:w="900"/>
            <w:tcMar>
              <w:top w:type="dxa" w:w="60"/>
              <w:left w:type="dxa" w:w="100"/>
              <w:bottom w:type="dxa" w:w="60"/>
              <w:right w:type="dxa" w:w="100"/>
            </w:tcMar>
          </w:tcPr>
          <w:p>
            <w:pPr>
              <w:spacing w:after="0"/>
              <w:jc w:val="center"/>
            </w:pPr>
            <w:r>
              <w:rPr>
                <w:b w:val="false"/>
                <w:bCs w:val="false"/>
                <w:sz w:val="18"/>
                <w:szCs w:val="18"/>
              </w:rPr>
              <w:t xml:space="preserve">7.2</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66.3</w:t>
            </w:r>
          </w:p>
        </w:tc>
        <w:tc>
          <w:tcPr>
            <w:tcW w:type="dxa" w:w="1000"/>
            <w:tcMar>
              <w:top w:type="dxa" w:w="60"/>
              <w:left w:type="dxa" w:w="100"/>
              <w:bottom w:type="dxa" w:w="60"/>
              <w:right w:type="dxa" w:w="100"/>
            </w:tcMar>
          </w:tcPr>
          <w:p>
            <w:pPr>
              <w:spacing w:after="0"/>
              <w:jc w:val="center"/>
            </w:pPr>
            <w:r>
              <w:rPr>
                <w:b w:val="false"/>
                <w:bCs w:val="false"/>
                <w:sz w:val="18"/>
                <w:szCs w:val="18"/>
              </w:rPr>
              <w:t xml:space="preserve">11.3</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[DMIPP] 4.0–5.4 M</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5.4</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76.1</w:t>
            </w:r>
          </w:p>
        </w:tc>
        <w:tc>
          <w:tcPr>
            <w:tcW w:type="dxa" w:w="1000"/>
            <w:tcMar>
              <w:top w:type="dxa" w:w="60"/>
              <w:left w:type="dxa" w:w="100"/>
              <w:bottom w:type="dxa" w:w="60"/>
              <w:right w:type="dxa" w:w="100"/>
            </w:tcMar>
          </w:tcPr>
          <w:p>
            <w:pPr>
              <w:spacing w:after="0"/>
              <w:jc w:val="center"/>
            </w:pPr>
            <w:r>
              <w:rPr>
                <w:b w:val="false"/>
                <w:bCs w:val="false"/>
                <w:sz w:val="18"/>
                <w:szCs w:val="18"/>
              </w:rPr>
              <w:t xml:space="preserve">8.0</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Res. time ≤ 1 min</w:t>
            </w:r>
          </w:p>
        </w:tc>
        <w:tc>
          <w:tcPr>
            <w:tcW w:type="dxa" w:w="900"/>
            <w:tcMar>
              <w:top w:type="dxa" w:w="60"/>
              <w:left w:type="dxa" w:w="100"/>
              <w:bottom w:type="dxa" w:w="60"/>
              <w:right w:type="dxa" w:w="100"/>
            </w:tcMar>
          </w:tcPr>
          <w:p>
            <w:pPr>
              <w:spacing w:after="0"/>
              <w:jc w:val="center"/>
            </w:pPr>
            <w:r>
              <w:rPr>
                <w:b w:val="false"/>
                <w:bCs w:val="false"/>
                <w:sz w:val="18"/>
                <w:szCs w:val="18"/>
              </w:rPr>
              <w:t xml:space="preserve">1.4</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1.0</w:t>
            </w:r>
          </w:p>
        </w:tc>
        <w:tc>
          <w:tcPr>
            <w:tcW w:type="dxa" w:w="1266"/>
            <w:tcMar>
              <w:top w:type="dxa" w:w="60"/>
              <w:left w:type="dxa" w:w="100"/>
              <w:bottom w:type="dxa" w:w="60"/>
              <w:right w:type="dxa" w:w="100"/>
            </w:tcMar>
          </w:tcPr>
          <w:p>
            <w:pPr>
              <w:spacing w:after="0"/>
              <w:jc w:val="center"/>
            </w:pPr>
            <w:r>
              <w:rPr>
                <w:b w:val="false"/>
                <w:bCs w:val="false"/>
                <w:sz w:val="18"/>
                <w:szCs w:val="18"/>
              </w:rPr>
              <w:t xml:space="preserve">76.1</w:t>
            </w:r>
          </w:p>
        </w:tc>
        <w:tc>
          <w:tcPr>
            <w:tcW w:type="dxa" w:w="1000"/>
            <w:tcMar>
              <w:top w:type="dxa" w:w="60"/>
              <w:left w:type="dxa" w:w="100"/>
              <w:bottom w:type="dxa" w:w="60"/>
              <w:right w:type="dxa" w:w="100"/>
            </w:tcMar>
          </w:tcPr>
          <w:p>
            <w:pPr>
              <w:spacing w:after="0"/>
              <w:jc w:val="center"/>
            </w:pPr>
            <w:r>
              <w:rPr>
                <w:b w:val="false"/>
                <w:bCs w:val="false"/>
                <w:sz w:val="18"/>
                <w:szCs w:val="18"/>
              </w:rPr>
              <w:t xml:space="preserve">6.1</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Cat. ≤ 7.5 mol%, [DMIPP] ≥ 4 M, t ≤ 1 min</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6.4</w:t>
            </w:r>
          </w:p>
        </w:tc>
        <w:tc>
          <w:tcPr>
            <w:tcW w:type="dxa" w:w="900"/>
            <w:tcMar>
              <w:top w:type="dxa" w:w="60"/>
              <w:left w:type="dxa" w:w="100"/>
              <w:bottom w:type="dxa" w:w="60"/>
              <w:right w:type="dxa" w:w="100"/>
            </w:tcMar>
          </w:tcPr>
          <w:p>
            <w:pPr>
              <w:spacing w:after="0"/>
              <w:jc w:val="center"/>
            </w:pPr>
            <w:r>
              <w:rPr>
                <w:b w:val="false"/>
                <w:bCs w:val="false"/>
                <w:sz w:val="18"/>
                <w:szCs w:val="18"/>
              </w:rPr>
              <w:t xml:space="preserve">7.5</w:t>
            </w:r>
          </w:p>
        </w:tc>
        <w:tc>
          <w:tcPr>
            <w:tcW w:type="dxa" w:w="780"/>
            <w:tcMar>
              <w:top w:type="dxa" w:w="60"/>
              <w:left w:type="dxa" w:w="100"/>
              <w:bottom w:type="dxa" w:w="60"/>
              <w:right w:type="dxa" w:w="100"/>
            </w:tcMar>
          </w:tcPr>
          <w:p>
            <w:pPr>
              <w:spacing w:after="0"/>
              <w:jc w:val="center"/>
            </w:pPr>
            <w:r>
              <w:rPr>
                <w:b w:val="false"/>
                <w:bCs w:val="false"/>
                <w:sz w:val="18"/>
                <w:szCs w:val="18"/>
              </w:rPr>
              <w:t xml:space="preserve">70</w:t>
            </w:r>
          </w:p>
        </w:tc>
        <w:tc>
          <w:tcPr>
            <w:tcW w:type="dxa" w:w="780"/>
            <w:tcMar>
              <w:top w:type="dxa" w:w="60"/>
              <w:left w:type="dxa" w:w="100"/>
              <w:bottom w:type="dxa" w:w="60"/>
              <w:right w:type="dxa" w:w="100"/>
            </w:tcMar>
          </w:tcPr>
          <w:p>
            <w:pPr>
              <w:spacing w:after="0"/>
              <w:jc w:val="center"/>
            </w:pPr>
            <w:r>
              <w:rPr>
                <w:b w:val="false"/>
                <w:bCs w:val="false"/>
                <w:sz w:val="18"/>
                <w:szCs w:val="18"/>
              </w:rPr>
              <w:t xml:space="preserve">1.0</w:t>
            </w:r>
          </w:p>
        </w:tc>
        <w:tc>
          <w:tcPr>
            <w:tcW w:type="dxa" w:w="1266"/>
            <w:tcMar>
              <w:top w:type="dxa" w:w="60"/>
              <w:left w:type="dxa" w:w="100"/>
              <w:bottom w:type="dxa" w:w="60"/>
              <w:right w:type="dxa" w:w="100"/>
            </w:tcMar>
          </w:tcPr>
          <w:p>
            <w:pPr>
              <w:spacing w:after="0"/>
              <w:jc w:val="center"/>
            </w:pPr>
            <w:r>
              <w:rPr>
                <w:b w:val="false"/>
                <w:bCs w:val="false"/>
                <w:sz w:val="18"/>
                <w:szCs w:val="18"/>
              </w:rPr>
              <w:t xml:space="preserve">54.8</w:t>
            </w:r>
          </w:p>
        </w:tc>
        <w:tc>
          <w:tcPr>
            <w:tcW w:type="dxa" w:w="1000"/>
            <w:tcMar>
              <w:top w:type="dxa" w:w="60"/>
              <w:left w:type="dxa" w:w="100"/>
              <w:bottom w:type="dxa" w:w="60"/>
              <w:right w:type="dxa" w:w="100"/>
            </w:tcMar>
          </w:tcPr>
          <w:p>
            <w:pPr>
              <w:spacing w:after="0"/>
              <w:jc w:val="center"/>
            </w:pPr>
            <w:r>
              <w:rPr>
                <w:b w:val="false"/>
                <w:bCs w:val="false"/>
                <w:sz w:val="18"/>
                <w:szCs w:val="18"/>
              </w:rPr>
              <w:t xml:space="preserve">10.8</w:t>
            </w:r>
          </w:p>
        </w:tc>
      </w:tr>
    </w:tbl>
    <w:p>
      <w:pPr>
        <w:spacing w:after="220" w:before="100"/>
        <w:jc w:val="both"/>
      </w:pPr>
      <w:r>
        <w:rPr>
          <w:b/>
          <w:bCs/>
          <w:sz w:val="18"/>
          <w:szCs w:val="18"/>
        </w:rPr>
        <w:t xml:space="preserve">Table S5. </w:t>
      </w:r>
      <w:r>
        <w:rPr>
          <w:sz w:val="18"/>
          <w:szCs w:val="18"/>
        </w:rPr>
        <w:t xml:space="preserve">One set of conditions per restriction: the highest predicted yield within it, subject to σ &lt; 15 percentage points.</w:t>
      </w:r>
    </w:p>
    <w:p>
      <w:pPr>
        <w:pStyle w:val="Heading1"/>
        <w:spacing w:after="140" w:before="280"/>
      </w:pPr>
      <w:r>
        <w:t xml:space="preserve">S5. Limitations</w:t>
      </w:r>
    </w:p>
    <w:p>
      <w:pPr>
        <w:pStyle w:val="ListParagraph"/>
        <w:numPr>
          <w:ilvl w:val="0"/>
          <w:numId w:val="2"/>
        </w:numPr>
        <w:spacing w:after="80"/>
        <w:jc w:val="both"/>
      </w:pPr>
      <w:r>
        <w:rPr>
          <w:sz w:val="20"/>
          <w:szCs w:val="20"/>
        </w:rPr>
        <w:t xml:space="preserve">σ is a property of the model, not a measured reproducibility. It is calibrated only insofar as the fitted noise term reflects the true experimental reproducibility, which nineteen experiments cannot establish; the 15-point cap means ‘the campaign passed close enough to here’.</w:t>
      </w:r>
    </w:p>
    <w:p>
      <w:pPr>
        <w:pStyle w:val="ListParagraph"/>
        <w:numPr>
          <w:ilvl w:val="0"/>
          <w:numId w:val="2"/>
        </w:numPr>
        <w:spacing w:after="80"/>
        <w:jc w:val="both"/>
      </w:pPr>
      <w:r>
        <w:rPr>
          <w:sz w:val="20"/>
          <w:szCs w:val="20"/>
        </w:rPr>
        <w:t xml:space="preserve">Nineteen experiments in five dimensions is sparse and the map is an interpolation. What keeps it honest is that the same model reports the prediction and its uncertainty, and that the cap is applied before selection rather than after.</w:t>
      </w:r>
    </w:p>
    <w:p>
      <w:pPr>
        <w:pStyle w:val="ListParagraph"/>
        <w:numPr>
          <w:ilvl w:val="0"/>
          <w:numId w:val="2"/>
        </w:numPr>
        <w:spacing w:after="80"/>
        <w:jc w:val="both"/>
      </w:pPr>
      <w:r>
        <w:rPr>
          <w:sz w:val="20"/>
          <w:szCs w:val="20"/>
        </w:rPr>
        <w:t xml:space="preserve">The Gaussian process is not bounded by chemistry: it predicts slightly negative yields (to −3.0 %) in the coldest, most dilute corner, far from any experiment.</w:t>
      </w:r>
    </w:p>
    <w:p>
      <w:pPr>
        <w:pStyle w:val="ListParagraph"/>
        <w:numPr>
          <w:ilvl w:val="0"/>
          <w:numId w:val="2"/>
        </w:numPr>
        <w:spacing w:after="80"/>
        <w:jc w:val="both"/>
      </w:pPr>
      <w:r>
        <w:rPr>
          <w:sz w:val="20"/>
          <w:szCs w:val="20"/>
        </w:rPr>
        <w:t xml:space="preserve">All nine proposals were made at 10 mol% catalyst, so the surrogate is least informed at 5 and 7.5 mol% — the restrictions that ask most of it.</w:t>
      </w:r>
    </w:p>
    <w:p>
      <w:pPr>
        <w:pStyle w:val="ListParagraph"/>
        <w:numPr>
          <w:ilvl w:val="0"/>
          <w:numId w:val="2"/>
        </w:numPr>
        <w:spacing w:after="80"/>
        <w:jc w:val="both"/>
      </w:pPr>
      <w:r>
        <w:rPr>
          <w:sz w:val="20"/>
          <w:szCs w:val="20"/>
        </w:rPr>
        <w:t xml:space="preserve">The arg-max of μ suits confirmation, not learning; an acquisition function would choose differently, and did during the campaign.</w:t>
      </w:r>
    </w:p>
    <w:p>
      <w:pPr>
        <w:pStyle w:val="ListParagraph"/>
        <w:numPr>
          <w:ilvl w:val="0"/>
          <w:numId w:val="2"/>
        </w:numPr>
        <w:spacing w:after="80"/>
        <w:jc w:val="both"/>
      </w:pPr>
      <w:r>
        <w:rPr>
          <w:sz w:val="20"/>
          <w:szCs w:val="20"/>
        </w:rPr>
        <w:t xml:space="preserve">Discretisation caps resolution: an optimum falling between two levels can be approached only to within half an increment.</w:t>
      </w:r>
    </w:p>
    <w:p>
      <w:pPr>
        <w:pStyle w:val="Heading1"/>
        <w:spacing w:after="140" w:before="280"/>
      </w:pPr>
      <w:r>
        <w:t xml:space="preserve">S6. Software and reproducibility</w:t>
      </w:r>
    </w:p>
    <w:p>
      <w:pPr>
        <w:spacing w:after="140" w:line="276"/>
        <w:jc w:val="both"/>
      </w:pPr>
      <w:r>
        <w:t xml:space="preserve">Python 3.11, BoFire 0.3.1, BoTorch 0.17.0, GPyTorch 1.15.2, PyTorch 2.10.0, scikit-learn. The initial design is seeded. The optimisation strategy draws its own Monte-Carlo seed unless one is supplied, so two runs on identical data can differ where candidates score closely; the campaign was run unseeded and its final proposal was verified stable across repeated runs. Two notebooks reproducing every number, table and figure in this document are available at [URL].</w:t>
      </w:r>
    </w:p>
    <w:p>
      <w:pPr>
        <w:pStyle w:val="Heading1"/>
        <w:spacing w:after="140" w:before="280"/>
      </w:pPr>
      <w:r>
        <w:t xml:space="preserve">References</w:t>
      </w:r>
    </w:p>
    <w:p>
      <w:pPr>
        <w:spacing w:after="90"/>
        <w:jc w:val="both"/>
      </w:pPr>
      <w:r>
        <w:rPr>
          <w:sz w:val="18"/>
          <w:szCs w:val="18"/>
        </w:rPr>
        <w:t xml:space="preserve">(1)  Ament, S.; Daulton, S.; Eriksson, D.; Balandat, M.; Bakshy, E. Unexpected Improvements to Expected Improvement for Bayesian Optimization. Adv. Neural Inf. Process. Syst. 2023.</w:t>
      </w:r>
    </w:p>
    <w:p>
      <w:pPr>
        <w:spacing w:after="90"/>
        <w:jc w:val="both"/>
      </w:pPr>
      <w:r>
        <w:rPr>
          <w:sz w:val="18"/>
          <w:szCs w:val="18"/>
        </w:rPr>
        <w:t xml:space="preserve">(2)  Balandat, M.; Karrer, B.; Jiang, D. R.; Daulton, S.; Letham, B.; Wilson, A. G.; Bakshy, E. BoTorch: A Framework for Efficient Monte-Carlo Bayesian Optimization. Adv. Neural Inf. Process. Syst. 2020.</w:t>
      </w:r>
    </w:p>
    <w:p>
      <w:pPr>
        <w:spacing w:after="90"/>
        <w:jc w:val="both"/>
      </w:pPr>
      <w:r>
        <w:rPr>
          <w:sz w:val="18"/>
          <w:szCs w:val="18"/>
        </w:rPr>
        <w:t xml:space="preserve">(3)  Durholt, J. P.; et al. BoFire: Bayesian Optimization Framework Intended for Real Experiments. 2024, arXiv:2408.05040.</w:t>
      </w:r>
    </w:p>
    <w:p>
      <w:pPr>
        <w:spacing w:after="90"/>
        <w:jc w:val="both"/>
      </w:pPr>
      <w:r>
        <w:rPr>
          <w:sz w:val="18"/>
          <w:szCs w:val="18"/>
        </w:rPr>
        <w:t xml:space="preserve">(4)  Shields, B. J.; Stevens, J.; Li, J.; Parasram, M.; Damani, F.; Alvarado, J. I. M.; Janey, J. M.; Adams, R. P.; Doyle, A. G. Bayesian Reaction Optimization as a Tool for Chemical Synthesis. Nature 2021, 590, 89–96.</w:t>
      </w:r>
    </w:p>
    <w:p>
      <w:pPr>
        <w:spacing w:after="90"/>
        <w:jc w:val="both"/>
      </w:pPr>
      <w:r>
        <w:rPr>
          <w:sz w:val="18"/>
          <w:szCs w:val="18"/>
        </w:rPr>
        <w:t xml:space="preserve">(5)  Kaneko, H. Sparse Sampling for Chemical Experiments. ACS Omega 2022, 7, 47789–47795.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6fd447389865f80af4220fac80a1c9e6a77e7.png"/><Relationship Id="rId8" Type="http://schemas.openxmlformats.org/officeDocument/2006/relationships/image" Target="media/2aeff85f2db7cf3655cecfca58389059bc1fd67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2026-09-16T15:20:45.979Z</dcterms:created>
  <dcterms:modified xsi:type="dcterms:W3CDTF">2026-09-16T15:20:45.979Z</dcterms:modified>
</cp:coreProperties>
</file>

<file path=docProps/custom.xml><?xml version="1.0" encoding="utf-8"?>
<Properties xmlns="http://schemas.openxmlformats.org/officeDocument/2006/custom-properties" xmlns:vt="http://schemas.openxmlformats.org/officeDocument/2006/docPropsVTypes"/>
</file>