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176F8B"/>
          <w:sz w:val="18"/>
        </w:rPr>
        <w:t>HUMAN-IN-THE-LOOP BAYESIAN OPTIMISATION · WEEKLY REPORT</w:t>
      </w:r>
    </w:p>
    <w:p>
      <w:pPr>
        <w:pStyle w:val="Title"/>
      </w:pPr>
      <w:r>
        <w:t>Week of 7–13 September 2026</w:t>
      </w:r>
    </w:p>
    <w:p>
      <w:pPr>
        <w:spacing w:after="80"/>
      </w:pPr>
      <w:r>
        <w:rPr>
          <w:color w:val="5A6876"/>
          <w:sz w:val="22"/>
        </w:rPr>
        <w:t>I started the week with an emulator that did not run, a trigger I could not justify and no way to show any of it to a chemist. I ended it with three reactions, a trigger whose threshold means the same thing at any budget, a null model measured on forty branches, and a REACTO page on which my colleagues can be handed a campaign that Bayesian optimisation gets wrong. This is how one led to the next.</w:t>
      </w:r>
    </w:p>
    <w:p>
      <w:pPr>
        <w:spacing w:after="200"/>
      </w:pPr>
      <w:r>
        <w:rPr>
          <w:color w:val="5A6876"/>
          <w:sz w:val="18"/>
        </w:rPr>
        <w:t>CiTOS, ULiège · REACTO branch hitl-bench · M. Croissant · 14 September 2026</w:t>
      </w:r>
    </w:p>
    <w:p>
      <w:pPr>
        <w:pStyle w:val="Heading1"/>
      </w:pPr>
      <w:r>
        <w:t>Monday 7 — where to build, and on what</w:t>
      </w:r>
    </w:p>
    <w:p>
      <w:pPr>
        <w:spacing w:after="60"/>
      </w:pPr>
      <w:r>
        <w:rPr>
          <w:b/>
          <w:color w:val="176F8B"/>
          <w:sz w:val="22"/>
        </w:rPr>
        <w:t>Can I trust the benchmark I already have, and where should the study live?</w:t>
      </w:r>
    </w:p>
    <w:p>
      <w:pPr>
        <w:spacing w:after="120"/>
      </w:pPr>
      <w:r>
        <w:t xml:space="preserve">My earlier bench ran on Olympus emulators of the Reizman Suzuki campaigns, in its own folder, with its own copy of the optimisation code and a Python environment that turned out to be dead. Repairing Olympus took three patches before it ran at all. The question that settled things was simpler than repairing anything: </w:t>
      </w:r>
      <w:r>
        <w:rPr>
          <w:b/>
        </w:rPr>
        <w:t>Minerva already publishes the emulators evaluated on a complete grid</w:t>
      </w:r>
      <w:r>
        <w:t xml:space="preserve"> (5,670 conditions per case, yields included). A grid needs no emulator, gives an exact Pareto front, and makes a campaign reproducible to the decimal. We checked the four grids against the repaired Olympus (r ≥ 0.997) and kept them.</w:t>
      </w:r>
    </w:p>
    <w:p>
      <w:pPr>
        <w:spacing w:after="120"/>
      </w:pPr>
      <w:r>
        <w:t xml:space="preserve">The second decision followed from the first. If the study is about what </w:t>
      </w:r>
      <w:r>
        <w:rPr>
          <w:i/>
        </w:rPr>
        <w:t>my</w:t>
      </w:r>
      <w:r>
        <w:t xml:space="preserve"> optimiser does, the bench must call it, not a copy. So the work moved into REACTO's own repository and imports its </w:t>
      </w:r>
      <w:r>
        <w:rPr>
          <w:rFonts w:ascii="Consolas" w:hAnsi="Consolas"/>
          <w:sz w:val="19"/>
        </w:rPr>
        <w:t>bayesian_optimization()</w:t>
      </w:r>
      <w:r>
        <w:t>; Olympus, TensorFlow 1.15 and the extra environment left with the old folder. By the evening, five case II campaigns had reproduced the bimodality I knew from my notebook — 37–56 % of the front when the optimiser settles on XPhos, 97–100 % when it finds PCy3 — on the real tool this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BE9DF"/>
          </w:tcPr>
          <w:p>
            <w:r/>
            <w:r>
              <w:rPr>
                <w:b/>
                <w:i/>
                <w:color w:val="E0672F"/>
                <w:sz w:val="20"/>
              </w:rPr>
              <w:t xml:space="preserve">What changed · </w:t>
            </w:r>
            <w:r>
              <w:rPr>
                <w:i/>
                <w:sz w:val="20"/>
              </w:rPr>
              <w:t>One optimiser, one repository, exact fronts. Everything measured after this point is measured on the thing the chemists will use.</w:t>
            </w:r>
          </w:p>
        </w:tc>
      </w:tr>
    </w:tbl>
    <w:p>
      <w:pPr>
        <w:spacing w:after="0"/>
      </w:pPr>
    </w:p>
    <w:p>
      <w:pPr>
        <w:pStyle w:val="Heading1"/>
      </w:pPr>
      <w:r>
        <w:t>Tuesday 8 — can a signal tell a trapped campaign from a good one?</w:t>
      </w:r>
    </w:p>
    <w:p>
      <w:pPr>
        <w:spacing w:after="60"/>
      </w:pPr>
      <w:r>
        <w:rPr>
          <w:b/>
          <w:color w:val="176F8B"/>
          <w:sz w:val="22"/>
        </w:rPr>
        <w:t>My trigger fired on a cadence; was it reading anything?</w:t>
      </w:r>
    </w:p>
    <w:p>
      <w:pPr>
        <w:spacing w:after="120"/>
      </w:pPr>
      <w:r>
        <w:t xml:space="preserve">I had brought a trigger — recent gain over total gain, a threshold, a cooldown — and a family of alternatives (plateau length, the surrogate's over-optimism, collapsed uncertainty, the acquisition value). We measured all of them on the campaigns. </w:t>
      </w:r>
      <w:r>
        <w:rPr>
          <w:b/>
        </w:rPr>
        <w:t>None separates a campaign converging on the right catalyst from one converging on the wrong one.</w:t>
      </w:r>
      <w:r>
        <w:t xml:space="preserve"> Progress, ligand coverage, concentration: identical in both; only the identity of the ligand differs, and that is what the campaign cannot know. Worse, my trigger's condition held in 46 % of experiments, so the cooldown, not the signal, set when it fired.</w:t>
      </w:r>
    </w:p>
    <w:p>
      <w:pPr>
        <w:spacing w:after="120"/>
      </w:pPr>
      <w:r>
        <w:t xml:space="preserve">That result changed what I could ask of a trigger. If nothing diagnoses, the trigger cannot decide; it can only </w:t>
      </w:r>
      <w:r>
        <w:rPr>
          <w:b/>
        </w:rPr>
        <w:t>book an appointment</w:t>
      </w:r>
      <w:r>
        <w:t xml:space="preserve"> with someone who can. The asymmetry makes that acceptable: interrupting a healthy campaign costs one experiment in thirty, missing a trapped one costs fifty points of front. We kept my signal's shape but corrected its denominator — recent pace over the campaign's own average pace, P* — because the original ratio decays on its own under steady progress and its threshold silently encodes a firing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BE9DF"/>
          </w:tcPr>
          <w:p>
            <w:r/>
            <w:r>
              <w:rPr>
                <w:b/>
                <w:i/>
                <w:color w:val="E0672F"/>
                <w:sz w:val="20"/>
              </w:rPr>
              <w:t xml:space="preserve">What changed · </w:t>
            </w:r>
            <w:r>
              <w:rPr>
                <w:i/>
                <w:sz w:val="20"/>
              </w:rPr>
              <w:t>The trigger books, the chemist diagnoses. The study's question moved from “can we detect a trap?” to “what does a chemist do when called?”</w:t>
            </w:r>
          </w:p>
        </w:tc>
      </w:tr>
    </w:tbl>
    <w:p>
      <w:pPr>
        <w:spacing w:after="0"/>
      </w:pPr>
    </w:p>
    <w:p>
      <w:pPr>
        <w:pStyle w:val="Heading1"/>
      </w:pPr>
      <w:r>
        <w:t>Wednesday 9 — which reactions, and what the chemist may answer</w:t>
      </w:r>
    </w:p>
    <w:p>
      <w:pPr>
        <w:spacing w:after="60"/>
      </w:pPr>
      <w:r>
        <w:rPr>
          <w:b/>
          <w:color w:val="176F8B"/>
          <w:sz w:val="22"/>
        </w:rPr>
        <w:t>Suzuki case II was the only trap I knew. Was it the only one worth showing?</w:t>
      </w:r>
    </w:p>
    <w:p>
      <w:pPr>
        <w:spacing w:after="120"/>
      </w:pPr>
      <w:r>
        <w:t xml:space="preserve">Overnight, nine more complete grids were screened with the same optimiser. I did not want the reaction where BO does best on average; I wanted the one where </w:t>
      </w:r>
      <w:r>
        <w:rPr>
          <w:b/>
        </w:rPr>
        <w:t>the outcome depends on the initial draw</w:t>
      </w:r>
      <w:r>
        <w:t>, because that is the only place a chemist can change something. The spread between the worst and the best seed became the selection criterion, with two hard constraints: a complete grid, and reagents with names a chemist can argue about.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5A6876"/>
          <w:sz w:val="18"/>
        </w:rPr>
        <w:t>Spread between the worst and best plain-BO campaign, in points of the global front (3–5 seeds). Suzuki II and I, and the EDBO+ C–H arylation, were kept.</w:t>
      </w:r>
    </w:p>
    <w:p>
      <w:pPr>
        <w:spacing w:after="120"/>
      </w:pPr>
      <w:r>
        <w:t xml:space="preserve">Three survived: Suzuki II (63 points of spread, a categorical trap), Suzuki I (45), and the C–H arylation of EDBO+ — 1,728 conditions all </w:t>
      </w:r>
      <w:r>
        <w:rPr>
          <w:i/>
        </w:rPr>
        <w:t>measured</w:t>
      </w:r>
      <w:r>
        <w:t xml:space="preserve"> at Bristol Myers Squibb, with two independent objectives, yield and reagent cost, where the Suzuki pair is redundant. I decided to stop working on Suzuki alone: it had given what it could.</w:t>
      </w:r>
    </w:p>
    <w:p>
      <w:pPr>
        <w:spacing w:after="120"/>
      </w:pPr>
      <w:r>
        <w:t xml:space="preserve">The same day I refused a fixed intervention schedule (“imagine it falls exactly when the optimiser is progressing well”), and added the answer that had been missing: at an alert the chemist may propose a point, let the optimiser continue, or </w:t>
      </w:r>
      <w:r>
        <w:rPr>
          <w:b/>
        </w:rPr>
        <w:t>stop the campaign</w:t>
      </w:r>
      <w:r>
        <w:t>. Stopping is a decision only a human can take — we measured that stopping at the first alert saves twenty experiments and loses a third of the hypervolume — and the distribution of the three answers is itself a result.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BE9DF"/>
          </w:tcPr>
          <w:p>
            <w:r/>
            <w:r>
              <w:rPr>
                <w:b/>
                <w:i/>
                <w:color w:val="E0672F"/>
                <w:sz w:val="20"/>
              </w:rPr>
              <w:t xml:space="preserve">What changed · </w:t>
            </w:r>
            <w:r>
              <w:rPr>
                <w:i/>
                <w:sz w:val="20"/>
              </w:rPr>
              <w:t>Three reactions, three answers. The human study now has a shape.</w:t>
            </w:r>
          </w:p>
        </w:tc>
      </w:tr>
    </w:tbl>
    <w:p>
      <w:pPr>
        <w:spacing w:after="0"/>
      </w:pPr>
    </w:p>
    <w:p>
      <w:pPr>
        <w:pStyle w:val="Heading1"/>
      </w:pPr>
      <w:r>
        <w:t>Thursday 10 — freezing the trigger, and a bug that would have voided the design</w:t>
      </w:r>
    </w:p>
    <w:p>
      <w:pPr>
        <w:spacing w:after="60"/>
      </w:pPr>
      <w:r>
        <w:rPr>
          <w:b/>
          <w:color w:val="176F8B"/>
          <w:sz w:val="22"/>
        </w:rPr>
        <w:t>With the trigger's form settled, what window, what threshold, and is any of this reproducible?</w:t>
      </w:r>
    </w:p>
    <w:p>
      <w:pPr>
        <w:spacing w:after="120"/>
      </w:pPr>
      <w:r>
        <w:t>We plotted where P</w:t>
      </w:r>
      <w:r>
        <w:rPr>
          <w:i/>
        </w:rPr>
        <w:t xml:space="preserve"> fires on every campaign for each candidate setting, and I read the plots against a rule I had not written down before: **after the ten initial points there must be five optimiser proposals before the trigger may speak** — a chemist is not asked to judge three experiments. Then window and threshold together: at W = 5, a threshold of 0.10 left four campaigns silent, two of them failures; 0.30 alerted 13 of 13 failed case II campaigns at 2.5 solicitations each, first alert at 22.6 with a quarter of the gain still to come, and the one campaign never interrupted was the one that reached 100 %. I hesitated between my original ratio and P</w:t>
      </w:r>
      <w:r>
        <w:t xml:space="preserve"> — they detect the same campaigns — and kept P* because its threshold does not change meaning with the budget. W = 5, 0.30, cooldown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394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ings_ii_pace_ratio_W5_cd5_s0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5A6876"/>
          <w:sz w:val="18"/>
        </w:rPr>
        <w:t>P* with the frozen settings on 18 case II campaigns: fraction of the front above, the signal against its threshold below, ▼ an alert. It fires on failures, and on some successes: it books, it does not diagnose.</w:t>
      </w:r>
    </w:p>
    <w:p>
      <w:pPr>
        <w:spacing w:after="120"/>
      </w:pPr>
      <w:r>
        <w:t xml:space="preserve">I also stated the research question as I wanted it answered — </w:t>
      </w:r>
      <w:r>
        <w:rPr>
          <w:i/>
        </w:rPr>
        <w:t>does intervening when the trigger says so improve a campaign, in time and in quality?</w:t>
      </w:r>
      <w:r>
        <w:t xml:space="preserve"> — which fixed the design: three arms sharing the same history up to the alert, plain BO, a </w:t>
      </w:r>
      <w:r>
        <w:rPr>
          <w:b/>
        </w:rPr>
        <w:t>random</w:t>
      </w:r>
      <w:r>
        <w:t xml:space="preserve"> point at every alert (the null model), a chemist's point at every alert. A paired design like that only works if a fork without intervention reproduces its parent. It did not. I asked why, since one can seed BO. The cause was in REACTO: the BoFire strategy was built without a seed and drew one from operating-system entropy at every step. Fixed that afternoon, with a seed derived from the campaign and the iteration.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BE9DF"/>
          </w:tcPr>
          <w:p>
            <w:r/>
            <w:r>
              <w:rPr>
                <w:b/>
                <w:i/>
                <w:color w:val="E0672F"/>
                <w:sz w:val="20"/>
              </w:rPr>
              <w:t xml:space="preserve">What changed · </w:t>
            </w:r>
            <w:r>
              <w:rPr>
                <w:i/>
                <w:sz w:val="20"/>
              </w:rPr>
              <w:t>Frozen trigger, three-arm design, campaigns that replay to twelve decimals. The bench could finally compute the two arms that need no chemist.</w:t>
            </w:r>
          </w:p>
        </w:tc>
      </w:tr>
    </w:tbl>
    <w:p>
      <w:pPr>
        <w:spacing w:after="0"/>
      </w:pPr>
    </w:p>
    <w:p>
      <w:pPr>
        <w:pStyle w:val="Heading1"/>
      </w:pPr>
      <w:r>
        <w:t>Thursday night to Friday — what chance achieves at the alerts</w:t>
      </w:r>
    </w:p>
    <w:p>
      <w:pPr>
        <w:spacing w:after="60"/>
      </w:pPr>
      <w:r>
        <w:rPr>
          <w:b/>
          <w:color w:val="176F8B"/>
          <w:sz w:val="22"/>
        </w:rPr>
        <w:t>Before asking chemists to beat the trigger, what does a random point at the same moments do?</w:t>
      </w:r>
    </w:p>
    <w:p>
      <w:pPr>
        <w:spacing w:after="120"/>
      </w:pPr>
      <w:r>
        <w:t xml:space="preserve">Twenty arylation controls and forty random branches, 130 interventions, each branch compared with its own parent. </w:t>
      </w:r>
      <w:r>
        <w:rPr>
          <w:b/>
        </w:rPr>
        <w:t>Paired gain +1.3 points; 18 branches of 40 improve, Wilson [31 %, 60 %]; range −27 to +23; no change in time to 90 %.</w:t>
      </w:r>
      <w:r>
        <w:t xml:space="preserve"> A random point moves a campaign a lot in both directions and on average almost not at all. That is the null I wanted: if the chemists beat it, it is expertise, not the effect of a shake. The only gain in it was luck on the ligand — one injected point in five hit a front ligand and those gained three times more.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365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s_paired_edbo_ch_ary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5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6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s_effect_edbo_ch_ary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5A6876"/>
          <w:sz w:val="18"/>
        </w:rPr>
        <w:t>Left: five arylation campaigns, plain BO in blue, the same with a random point at each alert in red. Right: the paired gain over forty branches.</w:t>
      </w:r>
    </w:p>
    <w:p>
      <w:pPr>
        <w:spacing w:after="120"/>
      </w:pPr>
      <w:r>
        <w:t xml:space="preserve">The number that stayed with me is not +1.3 but how it got there: +4.0 on eleven branches, +2.7 on nineteen, +1.3 on forty. A human arm with five chemists lives in that regime. </w:t>
      </w:r>
      <w:r>
        <w:rPr>
          <w:b/>
        </w:rPr>
        <w:t>I will not conclude on a mean over a dozen answers</w:t>
      </w:r>
      <w:r>
        <w:t>; the comparison has to be paired, on the same checkpoints, against this arm.</w:t>
      </w:r>
    </w:p>
    <w:p>
      <w:pPr>
        <w:spacing w:after="120"/>
      </w:pPr>
      <w:r>
        <w:t xml:space="preserve">Friday went to the question I had been circling since Tuesday: how do chemists who do not code take part? An HTML form, an invitation page and a Colab notebook were all built and all rejected. The answer was the one I had rejected first for being more work: </w:t>
      </w:r>
      <w:r>
        <w:rPr>
          <w:b/>
        </w:rPr>
        <w:t>a page inside REACTO</w:t>
      </w:r>
      <w:r>
        <w:t>, where a chemist types a name, watches the initial design, launches the optimiser, and is stopped by the trigger.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BE9DF"/>
          </w:tcPr>
          <w:p>
            <w:r/>
            <w:r>
              <w:rPr>
                <w:b/>
                <w:i/>
                <w:color w:val="E0672F"/>
                <w:sz w:val="20"/>
              </w:rPr>
              <w:t xml:space="preserve">What changed · </w:t>
            </w:r>
            <w:r>
              <w:rPr>
                <w:i/>
                <w:sz w:val="20"/>
              </w:rPr>
              <w:t>The null is nearly zero. The chemists' page exists as a tested engine with a thin interface.</w:t>
            </w:r>
          </w:p>
        </w:tc>
      </w:tr>
    </w:tbl>
    <w:p>
      <w:pPr>
        <w:spacing w:after="0"/>
      </w:pPr>
    </w:p>
    <w:p>
      <w:pPr>
        <w:pStyle w:val="Heading1"/>
      </w:pPr>
      <w:r>
        <w:t>Saturday 12 — what exactly are the chemists being asked to overturn?</w:t>
      </w:r>
    </w:p>
    <w:p>
      <w:pPr>
        <w:spacing w:after="60"/>
      </w:pPr>
      <w:r>
        <w:rPr>
          <w:b/>
          <w:color w:val="176F8B"/>
          <w:sz w:val="22"/>
        </w:rPr>
        <w:t>When I say seed 2 is trapped — is that the initial design, or the optimiser's own randomness?</w:t>
      </w:r>
    </w:p>
    <w:p>
      <w:pPr>
        <w:spacing w:after="120"/>
      </w:pPr>
      <w:r>
        <w:t xml:space="preserve">One integer had always seeded both. With the acquisition now seedable we held the initial design and varied the rest: arylation seed 2 ended at 72.5 % of the front four times out of four; Suzuki II seed 3 at 37.3 % four times out of four, one visit to PCy3 in thirty experiments each time. </w:t>
      </w:r>
      <w:r>
        <w:rPr>
          <w:b/>
        </w:rPr>
        <w:t>Given this optimiser, a campaign's fate is a function of its ten starting points.</w:t>
      </w:r>
      <w:r>
        <w:t xml:space="preserve"> That made the article's frame obvious to me: not “does HITL help on average”, which five chemists cannot carry, but a </w:t>
      </w:r>
      <w:r>
        <w:rPr>
          <w:i/>
        </w:rPr>
        <w:t>case study on trapped initial designs</w:t>
      </w:r>
      <w:r>
        <w:t xml:space="preserve"> — base rate from the twenty seeds, then one trapped design per reaction, and three paired branches. Does a chemist called between experiments 15 and 22 get the campaign out of a trap that neither the optimiser nor chance leaves?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546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ed_choice_i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54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5A6876"/>
          <w:sz w:val="18"/>
        </w:rPr>
        <w:t>Suzuki II, the twenty controls: orange campaigns end below 90 % of the front; red dashes are the alerts. The trapped ones all drew PCy3 at 0 % yield in the initial design. Seed 12 is the campaign the chemists receive.</w:t>
      </w:r>
    </w:p>
    <w:p>
      <w:pPr>
        <w:spacing w:after="120"/>
      </w:pPr>
      <w:r>
        <w:t>So we laid out all twenty controls per reaction, with what the initial design had shown of the winning ligand, and I chose: Suzuki II seed 12 (44 %, alert at 16, PCy3 seen once at 0 %), Suzuki I seed 8 (69 %, alert at 20, Xantphos seen at 40 °C, rediscovered too late), arylation seed 2 (72 %, alert at 16, a good ligand found at once and then nothing). Three different ways to be wrong.</w:t>
      </w:r>
    </w:p>
    <w:p>
      <w:pPr>
        <w:spacing w:after="120"/>
      </w:pPr>
      <w:r>
        <w:t xml:space="preserve">The rest of the day was spent being the first chemist. Opening the page in a browser exposed what HTTP tests could not (a callback the renderer refused, a race between ticks, catalyst codes in the menus where the table showed names); I asked for English, for the table to come first, for a resume list like the Optimization page, and for the chemistry — the reaction, the ligands drawn, the conditions, the prices per gram behind the cost objective — to be the first thing on screen, from the source figures rather than redrawn. Running the three campaigns myself showed the last gap: I never filled in </w:t>
      </w:r>
      <w:r>
        <w:rPr>
          <w:i/>
        </w:rPr>
        <w:t>why</w:t>
      </w:r>
      <w:r>
        <w:t>. The field is optional; it should not be.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BE9DF"/>
          </w:tcPr>
          <w:p>
            <w:r/>
            <w:r>
              <w:rPr>
                <w:b/>
                <w:i/>
                <w:color w:val="E0672F"/>
                <w:sz w:val="20"/>
              </w:rPr>
              <w:t xml:space="preserve">What changed · </w:t>
            </w:r>
            <w:r>
              <w:rPr>
                <w:i/>
                <w:sz w:val="20"/>
              </w:rPr>
              <w:t>The study is now a question I can state in one sentence, on three campaigns I can name, on a page I have used.</w:t>
            </w:r>
          </w:p>
        </w:tc>
      </w:tr>
    </w:tbl>
    <w:p>
      <w:pPr>
        <w:spacing w:after="0"/>
      </w:pPr>
    </w:p>
    <w:p>
      <w:pPr>
        <w:pStyle w:val="Heading1"/>
      </w:pPr>
      <w:r>
        <w:t>Open for next week</w:t>
      </w:r>
    </w:p>
    <w:p>
      <w:pPr>
        <w:pStyle w:val="ListBullet"/>
        <w:spacing w:after="40"/>
      </w:pPr>
      <w:r>
        <w:t>Make the justification mandatory.</w:t>
      </w:r>
    </w:p>
    <w:p>
      <w:pPr>
        <w:pStyle w:val="ListBullet"/>
        <w:spacing w:after="40"/>
      </w:pPr>
      <w:r>
        <w:t>How to compare a stopped campaign with a control that spent 40 experiments.</w:t>
      </w:r>
    </w:p>
    <w:p>
      <w:pPr>
        <w:pStyle w:val="ListBullet"/>
        <w:spacing w:after="40"/>
      </w:pPr>
      <w:r>
        <w:t>Random branches on Suzuki, and enough draws at the first alert to place a chemist's answer on a percentile.</w:t>
      </w:r>
    </w:p>
    <w:p>
      <w:pPr>
        <w:pStyle w:val="ListBullet"/>
        <w:spacing w:after="40"/>
      </w:pPr>
      <w:r>
        <w:t>Rights for the Nature figure in the article; the source of the four-case Suzuki scheme still to be credited.</w:t>
      </w:r>
    </w:p>
    <w:p>
      <w:pPr>
        <w:spacing w:after="120"/>
      </w:pPr>
      <w:r>
        <w:rPr>
          <w:color w:val="5A6876"/>
          <w:sz w:val="18"/>
        </w:rPr>
        <w:t>Numbers, decisions and their dates: hitl_bench/CLAUDE.md; provenance: data/README.md; arm reports: results/arms_report_*.md; night report: docs/nuit_du_10_septembre.md.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6F8B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