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color w:val="176F8B"/>
          <w:sz w:val="18"/>
        </w:rPr>
        <w:t>HUMAN-IN-THE-LOOP BAYESIAN OPTIMISATION · WEEKLY REPORT</w:t>
      </w:r>
    </w:p>
    <w:p>
      <w:pPr>
        <w:pStyle w:val="Title"/>
      </w:pPr>
      <w:r>
        <w:t>Week of 7–13 September 2026</w:t>
      </w:r>
    </w:p>
    <w:p>
      <w:pPr>
        <w:spacing w:after="80"/>
      </w:pPr>
      <w:r>
        <w:rPr>
          <w:color w:val="5A6876"/>
          <w:sz w:val="22"/>
        </w:rPr>
        <w:t>The study asks a simple question: when a chemist steps into a Bayesian optimisation campaign at the moment an alarm says “this is not progressing”, does the campaign end better? This report follows that question through the week — what I needed to settle before it could be asked properly, and what each answer changed.</w:t>
      </w:r>
    </w:p>
    <w:p>
      <w:pPr>
        <w:spacing w:after="200"/>
      </w:pPr>
      <w:r>
        <w:rPr>
          <w:color w:val="5A6876"/>
          <w:sz w:val="18"/>
        </w:rPr>
        <w:t>CiTOS, ULiège · REACTO branch hitl-bench · M. Croissant · 14 September 2026</w:t>
      </w:r>
    </w:p>
    <w:p>
      <w:pPr>
        <w:pStyle w:val="Heading1"/>
      </w:pPr>
      <w:r>
        <w:t>A benchmark I can trust</w:t>
      </w:r>
    </w:p>
    <w:p>
      <w:pPr>
        <w:spacing w:after="60"/>
      </w:pPr>
      <w:r>
        <w:rPr>
          <w:b/>
          <w:color w:val="176F8B"/>
          <w:sz w:val="22"/>
        </w:rPr>
        <w:t>First problem: I could not measure anything reliably.</w:t>
      </w:r>
    </w:p>
    <w:p>
      <w:pPr>
        <w:spacing w:after="120"/>
      </w:pPr>
      <w:r>
        <w:t xml:space="preserve">To test an optimiser you need a reaction whose </w:t>
      </w:r>
      <w:r>
        <w:rPr>
          <w:i/>
        </w:rPr>
        <w:t>every</w:t>
      </w:r>
      <w:r>
        <w:t xml:space="preserve"> possible condition is already known, so that the best achievable result is known in advance and any campaign can be scored as “it reached X % of the best possible”. My earlier set-up predicted each condition with a model that was hard to run and lived outside REACTO, with its own copy of the optimisation code.</w:t>
      </w:r>
    </w:p>
    <w:p>
      <w:pPr>
        <w:spacing w:after="120"/>
      </w:pPr>
      <w:r>
        <w:t xml:space="preserve">Two decisions fixed this. </w:t>
      </w:r>
      <w:r>
        <w:rPr>
          <w:b/>
        </w:rPr>
        <w:t>Use published grids</w:t>
      </w:r>
      <w:r>
        <w:t xml:space="preserve"> — the Minerva benchmark publishes the four Reizman Suzuki reactions as complete tables (5,670 conditions each, 7 catalysts × time × temperature × loading), so no model is needed. And </w:t>
      </w:r>
      <w:r>
        <w:rPr>
          <w:b/>
        </w:rPr>
        <w:t>put the bench inside REACTO</w:t>
      </w:r>
      <w:r>
        <w:t>, calling REACTO's own optimiser rather than a copy: whatever the study concludes is then about the tool the chemists will actually use.</w:t>
      </w:r>
    </w:p>
    <w:tbl>
      <w:tblPr>
        <w:tblW w:type="auto" w:w="0"/>
        <w:tblLook w:firstColumn="1" w:firstRow="1" w:lastColumn="0" w:lastRow="0" w:noHBand="0" w:noVBand="1" w:val="04A0"/>
      </w:tblPr>
      <w:tblGrid>
        <w:gridCol w:w="9632"/>
      </w:tblGrid>
      <w:tr>
        <w:tc>
          <w:tcPr>
            <w:tcW w:type="dxa" w:w="9632"/>
            <w:shd w:val="clear" w:color="auto" w:fill="FBE9DF"/>
          </w:tcPr>
          <w:p>
            <w:r/>
            <w:r>
              <w:rPr>
                <w:b/>
                <w:i/>
                <w:color w:val="E0672F"/>
                <w:sz w:val="20"/>
              </w:rPr>
              <w:t xml:space="preserve">What changed · </w:t>
            </w:r>
            <w:r>
              <w:rPr>
                <w:i/>
                <w:sz w:val="20"/>
              </w:rPr>
              <w:t>Every number in this report is now the fraction of the best achievable result, on the real tool.</w:t>
            </w:r>
          </w:p>
        </w:tc>
      </w:tr>
    </w:tbl>
    <w:p>
      <w:pPr>
        <w:spacing w:after="0"/>
      </w:pPr>
    </w:p>
    <w:p>
      <w:pPr>
        <w:pStyle w:val="Heading1"/>
      </w:pPr>
      <w:r>
        <w:t>Does the optimiser really get stuck?</w:t>
      </w:r>
    </w:p>
    <w:p>
      <w:pPr>
        <w:spacing w:after="60"/>
      </w:pPr>
      <w:r>
        <w:rPr>
          <w:b/>
          <w:color w:val="176F8B"/>
          <w:sz w:val="22"/>
        </w:rPr>
        <w:t>I remembered a trap on Suzuki case II. Was it real, and how often does it happen?</w:t>
      </w:r>
    </w:p>
    <w:p>
      <w:pPr>
        <w:spacing w:after="120"/>
      </w:pPr>
      <w:r>
        <w:t xml:space="preserve">A campaign is 40 experiments: 10 conditions drawn at random to start, then 30 chosen by the optimiser one at a time. We ran 20 such campaigns per reaction, each from a different random start. On Suzuki II, </w:t>
      </w:r>
      <w:r>
        <w:rPr>
          <w:b/>
        </w:rPr>
        <w:t>13 campaigns out of 20 ended below 90 % of the best result</w:t>
      </w:r>
      <w:r>
        <w:t xml:space="preserve"> — every one of them because the winning catalyst (PCy3) had been tried once in the random start at a low temperature, gave 0 % yield, and was never tried again. On Suzuki I it happened 5 times out of 20; on the C–H arylation, 10 times out of 20.</w:t>
      </w:r>
    </w:p>
    <w:p>
      <w:pPr>
        <w:jc w:val="center"/>
      </w:pPr>
      <w:r>
        <w:drawing>
          <wp:inline xmlns:a="http://schemas.openxmlformats.org/drawingml/2006/main" xmlns:pic="http://schemas.openxmlformats.org/drawingml/2006/picture">
            <wp:extent cx="5760000" cy="3654621"/>
            <wp:docPr id="1" name="Picture 1"/>
            <wp:cNvGraphicFramePr>
              <a:graphicFrameLocks noChangeAspect="1"/>
            </wp:cNvGraphicFramePr>
            <a:graphic>
              <a:graphicData uri="http://schemas.openxmlformats.org/drawingml/2006/picture">
                <pic:pic>
                  <pic:nvPicPr>
                    <pic:cNvPr id="0" name="seed_choice_ii.png"/>
                    <pic:cNvPicPr/>
                  </pic:nvPicPr>
                  <pic:blipFill>
                    <a:blip r:embed="rId9"/>
                    <a:stretch>
                      <a:fillRect/>
                    </a:stretch>
                  </pic:blipFill>
                  <pic:spPr>
                    <a:xfrm>
                      <a:off x="0" y="0"/>
                      <a:ext cx="5760000" cy="3654621"/>
                    </a:xfrm>
                    <a:prstGeom prst="rect"/>
                  </pic:spPr>
                </pic:pic>
              </a:graphicData>
            </a:graphic>
          </wp:inline>
        </w:drawing>
      </w:r>
    </w:p>
    <w:p>
      <w:pPr>
        <w:spacing w:after="160"/>
      </w:pPr>
      <w:r>
        <w:rPr>
          <w:color w:val="5A6876"/>
          <w:sz w:val="18"/>
        </w:rPr>
        <w:t>Suzuki II, 20 campaigns from 20 random starts. Each panel shows how close the campaign is to the best achievable result after each experiment; orange campaigns end below 90 %. The grey band is the random start; the red dashes are where the alarm fires (next section).</w:t>
      </w:r>
    </w:p>
    <w:p>
      <w:pPr>
        <w:spacing w:after="120"/>
      </w:pPr>
      <w:r>
        <w:t>So the trap is real, frequent, and it is a chemistry trap: a good catalyst judged on one bad condition. That is exactly the kind of mistake a chemist might catch.</w:t>
      </w:r>
    </w:p>
    <w:tbl>
      <w:tblPr>
        <w:tblW w:type="auto" w:w="0"/>
        <w:tblLook w:firstColumn="1" w:firstRow="1" w:lastColumn="0" w:lastRow="0" w:noHBand="0" w:noVBand="1" w:val="04A0"/>
      </w:tblPr>
      <w:tblGrid>
        <w:gridCol w:w="9632"/>
      </w:tblGrid>
      <w:tr>
        <w:tc>
          <w:tcPr>
            <w:tcW w:type="dxa" w:w="9632"/>
            <w:shd w:val="clear" w:color="auto" w:fill="FBE9DF"/>
          </w:tcPr>
          <w:p>
            <w:r/>
            <w:r>
              <w:rPr>
                <w:b/>
                <w:i/>
                <w:color w:val="E0672F"/>
                <w:sz w:val="20"/>
              </w:rPr>
              <w:t xml:space="preserve">What changed · </w:t>
            </w:r>
            <w:r>
              <w:rPr>
                <w:i/>
                <w:sz w:val="20"/>
              </w:rPr>
              <w:t>There is something for a chemist to fix, and often enough to measure.</w:t>
            </w:r>
          </w:p>
        </w:tc>
      </w:tr>
    </w:tbl>
    <w:p>
      <w:pPr>
        <w:spacing w:after="0"/>
      </w:pPr>
    </w:p>
    <w:p>
      <w:pPr>
        <w:pStyle w:val="Heading1"/>
      </w:pPr>
      <w:r>
        <w:t>Can we tell when a campaign is stuck?</w:t>
      </w:r>
    </w:p>
    <w:p>
      <w:pPr>
        <w:spacing w:after="60"/>
      </w:pPr>
      <w:r>
        <w:rPr>
          <w:b/>
          <w:color w:val="176F8B"/>
          <w:sz w:val="22"/>
        </w:rPr>
        <w:t>I had an alarm of my own. Did it detect the trap?</w:t>
      </w:r>
    </w:p>
    <w:p>
      <w:pPr>
        <w:spacing w:after="120"/>
      </w:pPr>
      <w:r>
        <w:t xml:space="preserve">We tested my alarm and several others (a flat curve, an over-confident model, the value of the next proposal…) on campaigns we knew to be trapped or not. </w:t>
      </w:r>
      <w:r>
        <w:rPr>
          <w:b/>
        </w:rPr>
        <w:t>None of them can tell a trapped campaign from a healthy one that is simply slowing down.</w:t>
      </w:r>
      <w:r>
        <w:t xml:space="preserve"> From the inside, both look the same: progress slows, all catalysts have been tried, the model is confident. Only the </w:t>
      </w:r>
      <w:r>
        <w:rPr>
          <w:i/>
        </w:rPr>
        <w:t>name</w:t>
      </w:r>
      <w:r>
        <w:t xml:space="preserve"> of the catalyst differs, and that is what no signal can read.</w:t>
      </w:r>
    </w:p>
    <w:p>
      <w:pPr>
        <w:spacing w:after="120"/>
      </w:pPr>
      <w:r>
        <w:t xml:space="preserve">That changed what the alarm is for. It cannot decide; it can only </w:t>
      </w:r>
      <w:r>
        <w:rPr>
          <w:b/>
        </w:rPr>
        <w:t>call the chemist</w:t>
      </w:r>
      <w:r>
        <w:t>, who can. And calling is cheap: interrupting a healthy campaign costs one experiment in thirty, while a trap costs half the result. So the alarm should fire whenever progress stalls, and the chemist decides what it means.</w:t>
      </w:r>
    </w:p>
    <w:p>
      <w:pPr>
        <w:spacing w:after="120"/>
      </w:pPr>
      <w:r>
        <w:t xml:space="preserve">The alarm I kept is my original idea with one correction. It compares </w:t>
      </w:r>
      <w:r>
        <w:rPr>
          <w:b/>
        </w:rPr>
        <w:t>how fast the campaign improved over the last five experiments</w:t>
      </w:r>
      <w:r>
        <w:t xml:space="preserve"> with </w:t>
      </w:r>
      <w:r>
        <w:rPr>
          <w:b/>
        </w:rPr>
        <w:t>how fast it improved on average since the start</w:t>
      </w:r>
      <w:r>
        <w:t xml:space="preserve">. If the recent pace drops below 30 % of the usual pace, the chemist is called. It cannot fire before experiment 15 (a chemist should not be asked to judge fewer than five optimiser choices) nor more than once every five experiments. The correction: my first version divided by the </w:t>
      </w:r>
      <w:r>
        <w:rPr>
          <w:i/>
        </w:rPr>
        <w:t>total</w:t>
      </w:r>
      <w:r>
        <w:t xml:space="preserve"> gain, which shrinks by itself as a campaign goes on, so its threshold meant something different at 40 experiments and at 100. The new ratio is 1 for a campaign progressing steadily, at any budget.</w:t>
      </w:r>
    </w:p>
    <w:p>
      <w:pPr>
        <w:spacing w:after="120"/>
      </w:pPr>
      <w:r>
        <w:t xml:space="preserve">On 18 Suzuki II campaigns this alarm calls the chemist on </w:t>
      </w:r>
      <w:r>
        <w:rPr>
          <w:b/>
        </w:rPr>
        <w:t>every one of the 13 that fail</w:t>
      </w:r>
      <w:r>
        <w:t>, on average at experiment 22 with a quarter of the final gain still ahead, two to three calls per campaign. It also calls on some campaigns that end well — that is expected, and the chemist's job is to say “no, this one is fine”.</w:t>
      </w:r>
    </w:p>
    <w:tbl>
      <w:tblPr>
        <w:tblW w:type="auto" w:w="0"/>
        <w:tblLook w:firstColumn="1" w:firstRow="1" w:lastColumn="0" w:lastRow="0" w:noHBand="0" w:noVBand="1" w:val="04A0"/>
      </w:tblPr>
      <w:tblGrid>
        <w:gridCol w:w="9632"/>
      </w:tblGrid>
      <w:tr>
        <w:tc>
          <w:tcPr>
            <w:tcW w:type="dxa" w:w="9632"/>
            <w:shd w:val="clear" w:color="auto" w:fill="FBE9DF"/>
          </w:tcPr>
          <w:p>
            <w:r/>
            <w:r>
              <w:rPr>
                <w:b/>
                <w:i/>
                <w:color w:val="E0672F"/>
                <w:sz w:val="20"/>
              </w:rPr>
              <w:t xml:space="preserve">What changed · </w:t>
            </w:r>
            <w:r>
              <w:rPr>
                <w:i/>
                <w:sz w:val="20"/>
              </w:rPr>
              <w:t>The alarm books an appointment; the chemist diagnoses. The question is no longer “can we detect?” but “what does the chemist do when called?”</w:t>
            </w:r>
          </w:p>
        </w:tc>
      </w:tr>
    </w:tbl>
    <w:p>
      <w:pPr>
        <w:spacing w:after="0"/>
      </w:pPr>
    </w:p>
    <w:p>
      <w:pPr>
        <w:pStyle w:val="Heading1"/>
      </w:pPr>
      <w:r>
        <w:t>What may the chemist answer?</w:t>
      </w:r>
    </w:p>
    <w:p>
      <w:pPr>
        <w:spacing w:after="60"/>
      </w:pPr>
      <w:r>
        <w:rPr>
          <w:b/>
          <w:color w:val="176F8B"/>
          <w:sz w:val="22"/>
        </w:rPr>
        <w:t>When the alarm fires, what choices should the chemist have?</w:t>
      </w:r>
    </w:p>
    <w:p>
      <w:pPr>
        <w:spacing w:after="120"/>
      </w:pPr>
      <w:r>
        <w:t xml:space="preserve">Three. </w:t>
      </w:r>
      <w:r>
        <w:rPr>
          <w:b/>
        </w:rPr>
        <w:t>Let the optimiser continue</w:t>
      </w:r>
      <w:r>
        <w:t xml:space="preserve"> (its next proposal is shown — the alarm was a false alert). </w:t>
      </w:r>
      <w:r>
        <w:rPr>
          <w:b/>
        </w:rPr>
        <w:t>Propose the next experiment</w:t>
      </w:r>
      <w:r>
        <w:t xml:space="preserve"> (the chemist's own conditions replace the optimiser's proposal). </w:t>
      </w:r>
      <w:r>
        <w:rPr>
          <w:b/>
        </w:rPr>
        <w:t>Stop the campaign</w:t>
      </w:r>
      <w:r>
        <w:t xml:space="preserve"> (nothing more is expected of it). The third one matters: stopping saves experiments but no algorithm can decide it — we checked that stopping at the first alarm would lose a third of the result on average — whereas a chemist knows whether 44 % yield on this coupling is a good outcome or a failure. Which of the three answers chemists give, and when, is a result in itself.</w:t>
      </w:r>
    </w:p>
    <w:p>
      <w:pPr>
        <w:spacing w:after="120"/>
      </w:pPr>
      <w:r>
        <w:t>I also decided against any fixed schedule (“intervene at experiment 20”): it could fall exactly when the optimiser is doing well.</w:t>
      </w:r>
    </w:p>
    <w:tbl>
      <w:tblPr>
        <w:tblW w:type="auto" w:w="0"/>
        <w:tblLook w:firstColumn="1" w:firstRow="1" w:lastColumn="0" w:lastRow="0" w:noHBand="0" w:noVBand="1" w:val="04A0"/>
      </w:tblPr>
      <w:tblGrid>
        <w:gridCol w:w="9632"/>
      </w:tblGrid>
      <w:tr>
        <w:tc>
          <w:tcPr>
            <w:tcW w:type="dxa" w:w="9632"/>
            <w:shd w:val="clear" w:color="auto" w:fill="FBE9DF"/>
          </w:tcPr>
          <w:p>
            <w:r/>
            <w:r>
              <w:rPr>
                <w:b/>
                <w:i/>
                <w:color w:val="E0672F"/>
                <w:sz w:val="20"/>
              </w:rPr>
              <w:t xml:space="preserve">What changed · </w:t>
            </w:r>
            <w:r>
              <w:rPr>
                <w:i/>
                <w:sz w:val="20"/>
              </w:rPr>
              <w:t>The human study has its shape: a call, three possible answers, a recorded reason.</w:t>
            </w:r>
          </w:p>
        </w:tc>
      </w:tr>
    </w:tbl>
    <w:p>
      <w:pPr>
        <w:spacing w:after="0"/>
      </w:pPr>
    </w:p>
    <w:p>
      <w:pPr>
        <w:pStyle w:val="Heading1"/>
      </w:pPr>
      <w:r>
        <w:t>Which reactions?</w:t>
      </w:r>
    </w:p>
    <w:p>
      <w:pPr>
        <w:spacing w:after="60"/>
      </w:pPr>
      <w:r>
        <w:rPr>
          <w:b/>
          <w:color w:val="176F8B"/>
          <w:sz w:val="22"/>
        </w:rPr>
        <w:t>Suzuki II was the only trap I knew. Are there better test cases?</w:t>
      </w:r>
    </w:p>
    <w:p>
      <w:pPr>
        <w:spacing w:after="120"/>
      </w:pPr>
      <w:r>
        <w:t xml:space="preserve">Twelve reaction grids were screened with the same optimiser. The criterion was not where the optimiser does best, but </w:t>
      </w:r>
      <w:r>
        <w:rPr>
          <w:b/>
        </w:rPr>
        <w:t>where the outcome depends on the random start</w:t>
      </w:r>
      <w:r>
        <w:t xml:space="preserve"> — the only situation a chemist can change. Two more requirements: a complete grid, and reagents with real names (a chemist cannot argue about “ligand L4”).</w:t>
      </w:r>
    </w:p>
    <w:p>
      <w:pPr>
        <w:jc w:val="center"/>
      </w:pPr>
      <w:r>
        <w:drawing>
          <wp:inline xmlns:a="http://schemas.openxmlformats.org/drawingml/2006/main" xmlns:pic="http://schemas.openxmlformats.org/drawingml/2006/picture">
            <wp:extent cx="5760000" cy="2688000"/>
            <wp:docPr id="2" name="Picture 2"/>
            <wp:cNvGraphicFramePr>
              <a:graphicFrameLocks noChangeAspect="1"/>
            </wp:cNvGraphicFramePr>
            <a:graphic>
              <a:graphicData uri="http://schemas.openxmlformats.org/drawingml/2006/picture">
                <pic:pic>
                  <pic:nvPicPr>
                    <pic:cNvPr id="0" name="spread.png"/>
                    <pic:cNvPicPr/>
                  </pic:nvPicPr>
                  <pic:blipFill>
                    <a:blip r:embed="rId10"/>
                    <a:stretch>
                      <a:fillRect/>
                    </a:stretch>
                  </pic:blipFill>
                  <pic:spPr>
                    <a:xfrm>
                      <a:off x="0" y="0"/>
                      <a:ext cx="5760000" cy="2688000"/>
                    </a:xfrm>
                    <a:prstGeom prst="rect"/>
                  </pic:spPr>
                </pic:pic>
              </a:graphicData>
            </a:graphic>
          </wp:inline>
        </w:drawing>
      </w:r>
    </w:p>
    <w:p>
      <w:pPr>
        <w:spacing w:after="160"/>
      </w:pPr>
      <w:r>
        <w:rPr>
          <w:color w:val="5A6876"/>
          <w:sz w:val="18"/>
        </w:rPr>
        <w:t>How much the outcome varies between random starts, per reaction, in points of the best achievable result. Only three reactions leave the chemist enough room.</w:t>
      </w:r>
    </w:p>
    <w:p>
      <w:pPr>
        <w:spacing w:after="120"/>
      </w:pPr>
      <w:r>
        <w:t xml:space="preserve">Three reactions are kept: </w:t>
      </w:r>
      <w:r>
        <w:rPr>
          <w:b/>
        </w:rPr>
        <w:t>Suzuki II</w:t>
      </w:r>
      <w:r>
        <w:t xml:space="preserve"> (the catalyst trap), </w:t>
      </w:r>
      <w:r>
        <w:rPr>
          <w:b/>
        </w:rPr>
        <w:t>Suzuki I</w:t>
      </w:r>
      <w:r>
        <w:t xml:space="preserve"> (same chemistry, a different trap: the right catalyst is found, but too late), and the </w:t>
      </w:r>
      <w:r>
        <w:rPr>
          <w:b/>
        </w:rPr>
        <w:t>C–H arylation from EDBO+</w:t>
      </w:r>
      <w:r>
        <w:t xml:space="preserve"> — real measurements, 1,728 conditions, with two genuinely competing objectives, yield and reagent cost. The others were either too easy (the optimiser always wins) or nameless.</w:t>
      </w:r>
    </w:p>
    <w:tbl>
      <w:tblPr>
        <w:tblW w:type="auto" w:w="0"/>
        <w:tblLook w:firstColumn="1" w:firstRow="1" w:lastColumn="0" w:lastRow="0" w:noHBand="0" w:noVBand="1" w:val="04A0"/>
      </w:tblPr>
      <w:tblGrid>
        <w:gridCol w:w="9632"/>
      </w:tblGrid>
      <w:tr>
        <w:tc>
          <w:tcPr>
            <w:tcW w:type="dxa" w:w="9632"/>
            <w:shd w:val="clear" w:color="auto" w:fill="FBE9DF"/>
          </w:tcPr>
          <w:p>
            <w:r/>
            <w:r>
              <w:rPr>
                <w:b/>
                <w:i/>
                <w:color w:val="E0672F"/>
                <w:sz w:val="20"/>
              </w:rPr>
              <w:t xml:space="preserve">What changed · </w:t>
            </w:r>
            <w:r>
              <w:rPr>
                <w:i/>
                <w:sz w:val="20"/>
              </w:rPr>
              <w:t>Three reactions, three different ways for the optimiser to be wrong.</w:t>
            </w:r>
          </w:p>
        </w:tc>
      </w:tr>
    </w:tbl>
    <w:p>
      <w:pPr>
        <w:spacing w:after="0"/>
      </w:pPr>
    </w:p>
    <w:p>
      <w:pPr>
        <w:pStyle w:val="Heading1"/>
      </w:pPr>
      <w:r>
        <w:t>How to measure whether the chemist helps</w:t>
      </w:r>
    </w:p>
    <w:p>
      <w:pPr>
        <w:spacing w:after="60"/>
      </w:pPr>
      <w:r>
        <w:rPr>
          <w:b/>
          <w:color w:val="176F8B"/>
          <w:sz w:val="22"/>
        </w:rPr>
        <w:t>Compared with what?</w:t>
      </w:r>
    </w:p>
    <w:p>
      <w:pPr>
        <w:spacing w:after="120"/>
      </w:pPr>
      <w:r>
        <w:t xml:space="preserve">Three campaigns that share the same history up to the alarm and differ only in what happens then: </w:t>
      </w:r>
      <w:r>
        <w:rPr>
          <w:b/>
        </w:rPr>
        <w:t>the optimiser alone</w:t>
      </w:r>
      <w:r>
        <w:t xml:space="preserve">, </w:t>
      </w:r>
      <w:r>
        <w:rPr>
          <w:b/>
        </w:rPr>
        <w:t>a random condition</w:t>
      </w:r>
      <w:r>
        <w:t xml:space="preserve"> injected at every alarm, and </w:t>
      </w:r>
      <w:r>
        <w:rPr>
          <w:b/>
        </w:rPr>
        <w:t>a chemist's condition</w:t>
      </w:r>
      <w:r>
        <w:t xml:space="preserve"> at every alarm. The random one is the honest yardstick: it tells what an intervention achieves when it carries no knowledge. Each branch is compared with its own parent campaign, so the shared start cancels out.</w:t>
      </w:r>
    </w:p>
    <w:p>
      <w:pPr>
        <w:spacing w:after="120"/>
      </w:pPr>
      <w:r>
        <w:t>That design only works if a campaign can be replayed exactly, and ours could not: two identical runs diverged. The cause was in REACTO — the optimiser was created without a random seed, so it drew a fresh one from the operating system at every step. Fixed; campaigns now replay to the twelfth decimal, and the application's behaviour is unchanged for normal use.</w:t>
      </w:r>
    </w:p>
    <w:tbl>
      <w:tblPr>
        <w:tblW w:type="auto" w:w="0"/>
        <w:tblLook w:firstColumn="1" w:firstRow="1" w:lastColumn="0" w:lastRow="0" w:noHBand="0" w:noVBand="1" w:val="04A0"/>
      </w:tblPr>
      <w:tblGrid>
        <w:gridCol w:w="9632"/>
      </w:tblGrid>
      <w:tr>
        <w:tc>
          <w:tcPr>
            <w:tcW w:type="dxa" w:w="9632"/>
            <w:shd w:val="clear" w:color="auto" w:fill="FBE9DF"/>
          </w:tcPr>
          <w:p>
            <w:r/>
            <w:r>
              <w:rPr>
                <w:b/>
                <w:i/>
                <w:color w:val="E0672F"/>
                <w:sz w:val="20"/>
              </w:rPr>
              <w:t xml:space="preserve">What changed · </w:t>
            </w:r>
            <w:r>
              <w:rPr>
                <w:i/>
                <w:sz w:val="20"/>
              </w:rPr>
              <w:t>Paired comparison against a null model, on campaigns that replay exactly.</w:t>
            </w:r>
          </w:p>
        </w:tc>
      </w:tr>
    </w:tbl>
    <w:p>
      <w:pPr>
        <w:spacing w:after="0"/>
      </w:pPr>
    </w:p>
    <w:p>
      <w:pPr>
        <w:pStyle w:val="Heading1"/>
      </w:pPr>
      <w:r>
        <w:t>What chance achieves</w:t>
      </w:r>
    </w:p>
    <w:p>
      <w:pPr>
        <w:spacing w:after="60"/>
      </w:pPr>
      <w:r>
        <w:rPr>
          <w:b/>
          <w:color w:val="176F8B"/>
          <w:sz w:val="22"/>
        </w:rPr>
        <w:t>Before asking chemists, what does a random point at the alarm do?</w:t>
      </w:r>
    </w:p>
    <w:p>
      <w:pPr>
        <w:spacing w:after="120"/>
      </w:pPr>
      <w:r>
        <w:t xml:space="preserve">On the arylation: 20 campaigns, 40 random branches, 130 interventions. </w:t>
      </w:r>
      <w:r>
        <w:rPr>
          <w:b/>
        </w:rPr>
        <w:t>A random point at the alarm changes the final result by +1.3 points on average</w:t>
      </w:r>
      <w:r>
        <w:t>; 18 branches out of 40 improve, 11 are unchanged, 11 get worse; the range is −27 to +23. In other words: it shakes the campaign a lot, in both directions, and gains almost nothing. The only gain in it is luck — one random point in five happened to use a winning catalyst, and those branches gained three times more.</w:t>
      </w:r>
    </w:p>
    <w:p>
      <w:pPr>
        <w:jc w:val="center"/>
      </w:pPr>
      <w:r>
        <w:drawing>
          <wp:inline xmlns:a="http://schemas.openxmlformats.org/drawingml/2006/main" xmlns:pic="http://schemas.openxmlformats.org/drawingml/2006/picture">
            <wp:extent cx="5760000" cy="1365682"/>
            <wp:docPr id="3" name="Picture 3"/>
            <wp:cNvGraphicFramePr>
              <a:graphicFrameLocks noChangeAspect="1"/>
            </wp:cNvGraphicFramePr>
            <a:graphic>
              <a:graphicData uri="http://schemas.openxmlformats.org/drawingml/2006/picture">
                <pic:pic>
                  <pic:nvPicPr>
                    <pic:cNvPr id="0" name="arms_paired_edbo_ch_arylation.png"/>
                    <pic:cNvPicPr/>
                  </pic:nvPicPr>
                  <pic:blipFill>
                    <a:blip r:embed="rId11"/>
                    <a:stretch>
                      <a:fillRect/>
                    </a:stretch>
                  </pic:blipFill>
                  <pic:spPr>
                    <a:xfrm>
                      <a:off x="0" y="0"/>
                      <a:ext cx="5760000" cy="1365682"/>
                    </a:xfrm>
                    <a:prstGeom prst="rect"/>
                  </pic:spPr>
                </pic:pic>
              </a:graphicData>
            </a:graphic>
          </wp:inline>
        </w:drawing>
      </w:r>
    </w:p>
    <w:p>
      <w:pPr>
        <w:jc w:val="center"/>
      </w:pPr>
      <w:r>
        <w:drawing>
          <wp:inline xmlns:a="http://schemas.openxmlformats.org/drawingml/2006/main" xmlns:pic="http://schemas.openxmlformats.org/drawingml/2006/picture">
            <wp:extent cx="4320000" cy="1632000"/>
            <wp:docPr id="4" name="Picture 4"/>
            <wp:cNvGraphicFramePr>
              <a:graphicFrameLocks noChangeAspect="1"/>
            </wp:cNvGraphicFramePr>
            <a:graphic>
              <a:graphicData uri="http://schemas.openxmlformats.org/drawingml/2006/picture">
                <pic:pic>
                  <pic:nvPicPr>
                    <pic:cNvPr id="0" name="arms_effect_edbo_ch_arylation.png"/>
                    <pic:cNvPicPr/>
                  </pic:nvPicPr>
                  <pic:blipFill>
                    <a:blip r:embed="rId12"/>
                    <a:stretch>
                      <a:fillRect/>
                    </a:stretch>
                  </pic:blipFill>
                  <pic:spPr>
                    <a:xfrm>
                      <a:off x="0" y="0"/>
                      <a:ext cx="4320000" cy="1632000"/>
                    </a:xfrm>
                    <a:prstGeom prst="rect"/>
                  </pic:spPr>
                </pic:pic>
              </a:graphicData>
            </a:graphic>
          </wp:inline>
        </w:drawing>
      </w:r>
    </w:p>
    <w:p>
      <w:pPr>
        <w:spacing w:after="160"/>
      </w:pPr>
      <w:r>
        <w:rPr>
          <w:color w:val="5A6876"/>
          <w:sz w:val="18"/>
        </w:rPr>
        <w:t>Left: five arylation campaigns, optimiser alone (blue) and the same campaign with a random point at each alarm (red). Right: how the 40 branches ended relative to their parent.</w:t>
      </w:r>
    </w:p>
    <w:p>
      <w:pPr>
        <w:spacing w:after="120"/>
      </w:pPr>
      <w:r>
        <w:t xml:space="preserve">One thing to remember from this: with 11 branches the gain looked like +4.0; with 19, +2.7; with 40, +1.3. Small samples flatter. The human study will have five chemists and a few answers each — </w:t>
      </w:r>
      <w:r>
        <w:rPr>
          <w:b/>
        </w:rPr>
        <w:t>its result must be read paired against this random arm, never as a mean on its own.</w:t>
      </w:r>
    </w:p>
    <w:tbl>
      <w:tblPr>
        <w:tblW w:type="auto" w:w="0"/>
        <w:tblLook w:firstColumn="1" w:firstRow="1" w:lastColumn="0" w:lastRow="0" w:noHBand="0" w:noVBand="1" w:val="04A0"/>
      </w:tblPr>
      <w:tblGrid>
        <w:gridCol w:w="9632"/>
      </w:tblGrid>
      <w:tr>
        <w:tc>
          <w:tcPr>
            <w:tcW w:type="dxa" w:w="9632"/>
            <w:shd w:val="clear" w:color="auto" w:fill="FBE9DF"/>
          </w:tcPr>
          <w:p>
            <w:r/>
            <w:r>
              <w:rPr>
                <w:b/>
                <w:i/>
                <w:color w:val="E0672F"/>
                <w:sz w:val="20"/>
              </w:rPr>
              <w:t xml:space="preserve">What changed · </w:t>
            </w:r>
            <w:r>
              <w:rPr>
                <w:i/>
                <w:sz w:val="20"/>
              </w:rPr>
              <w:t>Anything the chemists gain above this is knowledge, not luck.</w:t>
            </w:r>
          </w:p>
        </w:tc>
      </w:tr>
    </w:tbl>
    <w:p>
      <w:pPr>
        <w:spacing w:after="0"/>
      </w:pPr>
    </w:p>
    <w:p>
      <w:pPr>
        <w:pStyle w:val="Heading1"/>
      </w:pPr>
      <w:r>
        <w:t>What exactly are the chemists asked to fix?</w:t>
      </w:r>
    </w:p>
    <w:p>
      <w:pPr>
        <w:spacing w:after="60"/>
      </w:pPr>
      <w:r>
        <w:rPr>
          <w:b/>
          <w:color w:val="176F8B"/>
          <w:sz w:val="22"/>
        </w:rPr>
        <w:t>When I say “this random start traps the optimiser” — is it the start, or the optimiser's own randomness?</w:t>
      </w:r>
    </w:p>
    <w:p>
      <w:pPr>
        <w:spacing w:after="120"/>
      </w:pPr>
      <w:r>
        <w:t xml:space="preserve">We held the random start fixed and reran the optimiser four times with different internal seeds. Same result every time: 72.5 % on the arylation, 37.3 % on Suzuki II. </w:t>
      </w:r>
      <w:r>
        <w:rPr>
          <w:b/>
        </w:rPr>
        <w:t>The outcome is decided by the ten starting conditions.</w:t>
      </w:r>
      <w:r>
        <w:t xml:space="preserve"> The optimiser itself adds no luck.</w:t>
      </w:r>
    </w:p>
    <w:p>
      <w:pPr>
        <w:spacing w:after="120"/>
      </w:pPr>
      <w:r>
        <w:t xml:space="preserve">This settles how to present the study: not “does a chemist help on average” — five chemists cannot answer that — but </w:t>
      </w:r>
      <w:r>
        <w:rPr>
          <w:b/>
        </w:rPr>
        <w:t>a case study on starts that trap the optimiser</w:t>
      </w:r>
      <w:r>
        <w:t xml:space="preserve">. We know how often such starts occur (13, 5 and 10 out of 20). On one such start per reaction, everyone gets the same campaign; the optimiser alone and the random arm are already computed on it; the chemists' branch is what remains. The question becomes precise: </w:t>
      </w:r>
      <w:r>
        <w:rPr>
          <w:i/>
        </w:rPr>
        <w:t>does a chemist, called around experiment 16–20, get the campaign out of a trap that neither the optimiser nor chance escapes?</w:t>
      </w:r>
    </w:p>
    <w:p>
      <w:pPr>
        <w:spacing w:after="120"/>
      </w:pPr>
      <w:r>
        <w:t>The three campaigns chosen: Suzuki II start 12 (ends at 44 %, alarm at 16, PCy3 tried once at 0 %), Suzuki I start 8 (69 %, alarm at 20, Xantphos tried once at 40 °C, rediscovered too late), arylation start 2 (72 %, alarm at 16, a good ligand found at once and then nothing for 28 experiments).</w:t>
      </w:r>
    </w:p>
    <w:tbl>
      <w:tblPr>
        <w:tblW w:type="auto" w:w="0"/>
        <w:tblLook w:firstColumn="1" w:firstRow="1" w:lastColumn="0" w:lastRow="0" w:noHBand="0" w:noVBand="1" w:val="04A0"/>
      </w:tblPr>
      <w:tblGrid>
        <w:gridCol w:w="9632"/>
      </w:tblGrid>
      <w:tr>
        <w:tc>
          <w:tcPr>
            <w:tcW w:type="dxa" w:w="9632"/>
            <w:shd w:val="clear" w:color="auto" w:fill="FBE9DF"/>
          </w:tcPr>
          <w:p>
            <w:r/>
            <w:r>
              <w:rPr>
                <w:b/>
                <w:i/>
                <w:color w:val="E0672F"/>
                <w:sz w:val="20"/>
              </w:rPr>
              <w:t xml:space="preserve">What changed · </w:t>
            </w:r>
            <w:r>
              <w:rPr>
                <w:i/>
                <w:sz w:val="20"/>
              </w:rPr>
              <w:t>One sentence, three named campaigns, a yardstick already measured on each.</w:t>
            </w:r>
          </w:p>
        </w:tc>
      </w:tr>
    </w:tbl>
    <w:p>
      <w:pPr>
        <w:spacing w:after="0"/>
      </w:pPr>
    </w:p>
    <w:p>
      <w:pPr>
        <w:pStyle w:val="Heading1"/>
      </w:pPr>
      <w:r>
        <w:t>How the chemists take part</w:t>
      </w:r>
    </w:p>
    <w:p>
      <w:pPr>
        <w:spacing w:after="60"/>
      </w:pPr>
      <w:r>
        <w:rPr>
          <w:b/>
          <w:color w:val="176F8B"/>
          <w:sz w:val="22"/>
        </w:rPr>
        <w:t>My colleagues do not code. How do they run a campaign?</w:t>
      </w:r>
    </w:p>
    <w:p>
      <w:pPr>
        <w:spacing w:after="120"/>
      </w:pPr>
      <w:r>
        <w:t xml:space="preserve">After a form, an invitation page and a notebook were tried and rejected, the answer was </w:t>
      </w:r>
      <w:r>
        <w:rPr>
          <w:b/>
        </w:rPr>
        <w:t>a page in REACTO</w:t>
      </w:r>
      <w:r>
        <w:t>. A chemist enters a name, reads the chemistry of the reaction (the scheme, the catalysts drawn, the conditions, the price per gram of each reagent when cost is an objective), looks at the ten starting experiments, and launches the optimiser. Experiments appear one per second — the same for everyone, since they replay the chosen campaign. When the alarm fires the page pauses and asks for one of the three answers and a reason. If the chemist proposes a condition, the optimiser continues for real from there. Everything is saved as it goes; a chemist who leaves resumes from a list.</w:t>
      </w:r>
    </w:p>
    <w:p>
      <w:pPr>
        <w:spacing w:after="120"/>
      </w:pPr>
      <w:r>
        <w:t>I ran the three campaigns myself. It works, and it showed the last gap: I never wrote a reason. The field is optional; it should not be.</w:t>
      </w:r>
    </w:p>
    <w:tbl>
      <w:tblPr>
        <w:tblW w:type="auto" w:w="0"/>
        <w:tblLook w:firstColumn="1" w:firstRow="1" w:lastColumn="0" w:lastRow="0" w:noHBand="0" w:noVBand="1" w:val="04A0"/>
      </w:tblPr>
      <w:tblGrid>
        <w:gridCol w:w="9632"/>
      </w:tblGrid>
      <w:tr>
        <w:tc>
          <w:tcPr>
            <w:tcW w:type="dxa" w:w="9632"/>
            <w:shd w:val="clear" w:color="auto" w:fill="FBE9DF"/>
          </w:tcPr>
          <w:p>
            <w:r/>
            <w:r>
              <w:rPr>
                <w:b/>
                <w:i/>
                <w:color w:val="E0672F"/>
                <w:sz w:val="20"/>
              </w:rPr>
              <w:t xml:space="preserve">What changed · </w:t>
            </w:r>
            <w:r>
              <w:rPr>
                <w:i/>
                <w:sz w:val="20"/>
              </w:rPr>
              <w:t>The study can start as soon as the reason field is made mandatory.</w:t>
            </w:r>
          </w:p>
        </w:tc>
      </w:tr>
    </w:tbl>
    <w:p>
      <w:pPr>
        <w:spacing w:after="0"/>
      </w:pPr>
    </w:p>
    <w:p>
      <w:pPr>
        <w:pStyle w:val="Heading1"/>
      </w:pPr>
      <w:r>
        <w:t>Still to do</w:t>
      </w:r>
    </w:p>
    <w:p>
      <w:pPr>
        <w:pStyle w:val="ListBullet"/>
        <w:spacing w:after="40"/>
      </w:pPr>
      <w:r>
        <w:t>Make the reason mandatory.</w:t>
      </w:r>
    </w:p>
    <w:p>
      <w:pPr>
        <w:pStyle w:val="ListBullet"/>
        <w:spacing w:after="40"/>
      </w:pPr>
      <w:r>
        <w:t>Decide how a stopped campaign is compared with one that ran the full 40 experiments.</w:t>
      </w:r>
    </w:p>
    <w:p>
      <w:pPr>
        <w:pStyle w:val="ListBullet"/>
        <w:spacing w:after="40"/>
      </w:pPr>
      <w:r>
        <w:t>Compute the random arm on the two Suzuki campaigns, and more random draws at the first alarm to place each chemist's answer on a percentile.</w:t>
      </w:r>
    </w:p>
    <w:p>
      <w:pPr>
        <w:pStyle w:val="ListBullet"/>
        <w:spacing w:after="40"/>
      </w:pPr>
      <w:r>
        <w:t>Permission for the Nature figure shown on the arylation page, and the source of the Suzuki scheme to credit.</w:t>
      </w:r>
    </w:p>
    <w:p>
      <w:pPr>
        <w:spacing w:after="120"/>
      </w:pPr>
      <w:r>
        <w:rPr>
          <w:color w:val="5A6876"/>
          <w:sz w:val="18"/>
        </w:rPr>
        <w:t>Numbers, decisions and their dates: hitl_bench/CLAUDE.md; provenance: data/README.md; arm reports: results/arms_report_*.md; night report: docs/nuit_du_10_septembre.md.</w:t>
      </w:r>
    </w:p>
    <w:sectPr w:rsidR="00FC693F" w:rsidRPr="0006063C" w:rsidSect="00034616">
      <w:pgSz w:w="12240" w:h="15840"/>
      <w:pgMar w:top="1134"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76F8B"/>
      <w:sz w:val="27"/>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