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76F8B"/>
          <w:sz w:val="28"/>
          <w:szCs w:val="28"/>
        </w:rPr>
        <w:t xml:space="preserve">HUMAN-IN-THE-LOOP STUDY · STATE OF PLAY AND PLAN FOR THE LEAVE</w:t>
      </w:r>
    </w:p>
    <w:p>
      <w:pPr>
        <w:pBdr>
          <w:bottom w:val="single" w:color="176F8B" w:sz="8" w:space="6"/>
        </w:pBdr>
        <w:spacing w:after="200"/>
      </w:pPr>
      <w:r>
        <w:rPr>
          <w:rFonts w:ascii="Calibri" w:cs="Calibri" w:eastAsia="Calibri" w:hAnsi="Calibri"/>
          <w:i/>
          <w:iCs/>
          <w:color w:val="595959"/>
          <w:sz w:val="22"/>
          <w:szCs w:val="22"/>
        </w:rPr>
        <w:t xml:space="preserve">M. Croissant · CiTOS, ULiège · 17 September 2026 · for the meeting of [date]</w:t>
      </w:r>
    </w:p>
    <w:p>
      <w:pPr>
        <w:spacing w:after="180" w:line="264"/>
      </w:pPr>
      <w:r>
        <w:rPr>
          <w:rFonts w:ascii="Calibri" w:cs="Calibri" w:eastAsia="Calibri" w:hAnsi="Calibri"/>
          <w:b/>
          <w:bCs/>
          <w:i w:val="false"/>
          <w:iCs w:val="false"/>
          <w:color w:val="000000"/>
          <w:sz w:val="22"/>
          <w:szCs w:val="22"/>
        </w:rPr>
        <w:t xml:space="preserve">In one paragraph. </w:t>
      </w:r>
      <w:r>
        <w:rPr>
          <w:rFonts w:ascii="Calibri" w:cs="Calibri" w:eastAsia="Calibri" w:hAnsi="Calibri"/>
          <w:b w:val="false"/>
          <w:bCs w:val="false"/>
          <w:i w:val="false"/>
          <w:iCs w:val="false"/>
          <w:color w:val="000000"/>
          <w:sz w:val="22"/>
          <w:szCs w:val="22"/>
        </w:rPr>
        <w:t xml:space="preserve">The study asks whether a chemist, called at the moment a Bayesian optimisation campaign stalls, gets it out of a trap the optimiser does not leave on its own. Everything needed to ask that question is built, measured and deployed: the benchmark, the alarm, the null model it is judged against, and the page the chemists use, which is online. What is missing is the chemists' answers, and they are what the leave is for — the data collect themselves while nothing in the study may change. The analysis and the manuscript wait for the return; this document says what is done, what runs without me, and what must not be started in the meantime.</w:t>
      </w:r>
    </w:p>
    <w:p>
      <w:pPr>
        <w:pStyle w:val="Heading1"/>
        <w:spacing w:after="140" w:before="320"/>
      </w:pPr>
      <w:r>
        <w:rPr>
          <w:rFonts w:ascii="Calibri" w:cs="Calibri" w:eastAsia="Calibri" w:hAnsi="Calibri"/>
          <w:b/>
          <w:bCs/>
          <w:color w:val="176F8B"/>
          <w:sz w:val="26"/>
          <w:szCs w:val="26"/>
        </w:rPr>
        <w:t xml:space="preserve">1. Where each piece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shd w:fill="176F8B"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FFFFFF"/>
                <w:sz w:val="20"/>
                <w:szCs w:val="20"/>
              </w:rPr>
              <w:t xml:space="preserve">Piece</w:t>
            </w:r>
          </w:p>
        </w:tc>
        <w:tc>
          <w:tcPr>
            <w:tcW w:type="dxa" w:w="1500"/>
            <w:shd w:fill="176F8B"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FFFFFF"/>
                <w:sz w:val="20"/>
                <w:szCs w:val="20"/>
              </w:rPr>
              <w:t xml:space="preserve">State</w:t>
            </w:r>
          </w:p>
        </w:tc>
        <w:tc>
          <w:tcPr>
            <w:tcW w:type="dxa" w:w="4460"/>
            <w:shd w:fill="176F8B"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FFFFFF"/>
                <w:sz w:val="20"/>
                <w:szCs w:val="20"/>
              </w:rPr>
              <w:t xml:space="preserve">Note</w:t>
            </w:r>
          </w:p>
        </w:tc>
      </w:tr>
      <w:tr>
        <w:tc>
          <w:tcPr>
            <w:tcW w:type="dxa" w:w="34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Benchmark and campaign engine</w:t>
            </w:r>
          </w:p>
        </w:tc>
        <w:tc>
          <w:tcPr>
            <w:tcW w:type="dxa" w:w="1500"/>
            <w:tcMar>
              <w:top w:type="dxa" w:w="60"/>
              <w:left w:type="dxa" w:w="110"/>
              <w:bottom w:type="dxa" w:w="60"/>
              <w:right w:type="dxa" w:w="110"/>
            </w:tcMar>
          </w:tcPr>
          <w:p>
            <w:pPr>
              <w:spacing w:after="40" w:before="40" w:line="250"/>
            </w:pPr>
            <w:r>
              <w:rPr>
                <w:rFonts w:ascii="Calibri" w:cs="Calibri" w:eastAsia="Calibri" w:hAnsi="Calibri"/>
                <w:b/>
                <w:bCs/>
                <w:i w:val="false"/>
                <w:iCs w:val="false"/>
                <w:color w:val="000000"/>
                <w:sz w:val="20"/>
                <w:szCs w:val="20"/>
              </w:rPr>
              <w:t xml:space="preserve">Done</w:t>
            </w:r>
          </w:p>
        </w:tc>
        <w:tc>
          <w:tcPr>
            <w:tcW w:type="dxa" w:w="44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Published grids, inside REACTO, driven by REACTO’s own optimiser</w:t>
            </w:r>
          </w:p>
        </w:tc>
      </w:tr>
      <w:tr>
        <w:tc>
          <w:tcPr>
            <w:tcW w:type="dxa" w:w="34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Reproducibility</w:t>
            </w:r>
          </w:p>
        </w:tc>
        <w:tc>
          <w:tcPr>
            <w:tcW w:type="dxa" w:w="1500"/>
            <w:shd w:fill="F4F6F7"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000000"/>
                <w:sz w:val="20"/>
                <w:szCs w:val="20"/>
              </w:rPr>
              <w:t xml:space="preserve">Done</w:t>
            </w:r>
          </w:p>
        </w:tc>
        <w:tc>
          <w:tcPr>
            <w:tcW w:type="dxa" w:w="446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Campaigns replay to the twelfth decimal; a fork reproduces its parent exactly</w:t>
            </w:r>
          </w:p>
        </w:tc>
      </w:tr>
      <w:tr>
        <w:tc>
          <w:tcPr>
            <w:tcW w:type="dxa" w:w="34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trap, measured</w:t>
            </w:r>
          </w:p>
        </w:tc>
        <w:tc>
          <w:tcPr>
            <w:tcW w:type="dxa" w:w="1500"/>
            <w:tcMar>
              <w:top w:type="dxa" w:w="60"/>
              <w:left w:type="dxa" w:w="110"/>
              <w:bottom w:type="dxa" w:w="60"/>
              <w:right w:type="dxa" w:w="110"/>
            </w:tcMar>
          </w:tcPr>
          <w:p>
            <w:pPr>
              <w:spacing w:after="40" w:before="40" w:line="250"/>
            </w:pPr>
            <w:r>
              <w:rPr>
                <w:rFonts w:ascii="Calibri" w:cs="Calibri" w:eastAsia="Calibri" w:hAnsi="Calibri"/>
                <w:b/>
                <w:bCs/>
                <w:i w:val="false"/>
                <w:iCs w:val="false"/>
                <w:color w:val="000000"/>
                <w:sz w:val="20"/>
                <w:szCs w:val="20"/>
              </w:rPr>
              <w:t xml:space="preserve">Done</w:t>
            </w:r>
          </w:p>
        </w:tc>
        <w:tc>
          <w:tcPr>
            <w:tcW w:type="dxa" w:w="44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20 campaigns per reaction, three reactions; base rate known</w:t>
            </w:r>
          </w:p>
        </w:tc>
      </w:tr>
      <w:tr>
        <w:tc>
          <w:tcPr>
            <w:tcW w:type="dxa" w:w="34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alarm (P*)</w:t>
            </w:r>
          </w:p>
        </w:tc>
        <w:tc>
          <w:tcPr>
            <w:tcW w:type="dxa" w:w="1500"/>
            <w:shd w:fill="F4F6F7"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000000"/>
                <w:sz w:val="20"/>
                <w:szCs w:val="20"/>
              </w:rPr>
              <w:t xml:space="preserve">Frozen</w:t>
            </w:r>
          </w:p>
        </w:tc>
        <w:tc>
          <w:tcPr>
            <w:tcW w:type="dxa" w:w="446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Settings measured, not chosen; documented in </w:t>
            </w:r>
            <w:r>
              <w:rPr>
                <w:rFonts w:ascii="Consolas" w:cs="Consolas" w:eastAsia="Consolas" w:hAnsi="Consolas"/>
                <w:b w:val="false"/>
                <w:bCs w:val="false"/>
                <w:i w:val="false"/>
                <w:iCs w:val="false"/>
                <w:color w:val="000000"/>
                <w:sz w:val="18"/>
                <w:szCs w:val="18"/>
              </w:rPr>
              <w:t xml:space="preserve">CLAUDE.md</w:t>
            </w:r>
          </w:p>
        </w:tc>
      </w:tr>
      <w:tr>
        <w:tc>
          <w:tcPr>
            <w:tcW w:type="dxa" w:w="34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null model (random arm)</w:t>
            </w:r>
          </w:p>
        </w:tc>
        <w:tc>
          <w:tcPr>
            <w:tcW w:type="dxa" w:w="1500"/>
            <w:tcMar>
              <w:top w:type="dxa" w:w="60"/>
              <w:left w:type="dxa" w:w="110"/>
              <w:bottom w:type="dxa" w:w="60"/>
              <w:right w:type="dxa" w:w="110"/>
            </w:tcMar>
          </w:tcPr>
          <w:p>
            <w:pPr>
              <w:spacing w:after="40" w:before="40" w:line="250"/>
            </w:pPr>
            <w:r>
              <w:rPr>
                <w:rFonts w:ascii="Calibri" w:cs="Calibri" w:eastAsia="Calibri" w:hAnsi="Calibri"/>
                <w:b/>
                <w:bCs/>
                <w:i w:val="false"/>
                <w:iCs w:val="false"/>
                <w:color w:val="000000"/>
                <w:sz w:val="20"/>
                <w:szCs w:val="20"/>
              </w:rPr>
              <w:t xml:space="preserve">Partial</w:t>
            </w:r>
          </w:p>
        </w:tc>
        <w:tc>
          <w:tcPr>
            <w:tcW w:type="dxa" w:w="44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Computed on the arylation; the two Suzuki campaigns remain</w:t>
            </w:r>
          </w:p>
        </w:tc>
      </w:tr>
      <w:tr>
        <w:tc>
          <w:tcPr>
            <w:tcW w:type="dxa" w:w="34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chemists’ page</w:t>
            </w:r>
          </w:p>
        </w:tc>
        <w:tc>
          <w:tcPr>
            <w:tcW w:type="dxa" w:w="1500"/>
            <w:shd w:fill="F4F6F7"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000000"/>
                <w:sz w:val="20"/>
                <w:szCs w:val="20"/>
              </w:rPr>
              <w:t xml:space="preserve">Online</w:t>
            </w:r>
          </w:p>
        </w:tc>
        <w:tc>
          <w:tcPr>
            <w:tcW w:type="dxa" w:w="4460"/>
            <w:shd w:fill="F4F6F7" w:color="auto" w:val="clear"/>
            <w:tcMar>
              <w:top w:type="dxa" w:w="60"/>
              <w:left w:type="dxa" w:w="110"/>
              <w:bottom w:type="dxa" w:w="60"/>
              <w:right w:type="dxa" w:w="110"/>
            </w:tcMar>
          </w:tcPr>
          <w:p>
            <w:pPr>
              <w:spacing w:after="40" w:before="40" w:line="250"/>
            </w:pPr>
            <w:r>
              <w:rPr>
                <w:rFonts w:ascii="Consolas" w:cs="Consolas" w:eastAsia="Consolas" w:hAnsi="Consolas"/>
                <w:b w:val="false"/>
                <w:bCs w:val="false"/>
                <w:i w:val="false"/>
                <w:iCs w:val="false"/>
                <w:color w:val="000000"/>
                <w:sz w:val="18"/>
                <w:szCs w:val="18"/>
              </w:rPr>
              <w:t xml:space="preserve">https://reacto.fsc.uliege.be/hitl-live</w:t>
            </w:r>
            <w:r>
              <w:rPr>
                <w:rFonts w:ascii="Calibri" w:cs="Calibri" w:eastAsia="Calibri" w:hAnsi="Calibri"/>
                <w:b w:val="false"/>
                <w:bCs w:val="false"/>
                <w:i w:val="false"/>
                <w:iCs w:val="false"/>
                <w:color w:val="000000"/>
                <w:sz w:val="20"/>
                <w:szCs w:val="20"/>
              </w:rPr>
              <w:t xml:space="preserve"> on the CiTOS VM</w:t>
            </w:r>
          </w:p>
        </w:tc>
      </w:tr>
      <w:tr>
        <w:tc>
          <w:tcPr>
            <w:tcW w:type="dxa" w:w="34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chemists’ answers</w:t>
            </w:r>
          </w:p>
        </w:tc>
        <w:tc>
          <w:tcPr>
            <w:tcW w:type="dxa" w:w="1500"/>
            <w:tcMar>
              <w:top w:type="dxa" w:w="60"/>
              <w:left w:type="dxa" w:w="110"/>
              <w:bottom w:type="dxa" w:w="60"/>
              <w:right w:type="dxa" w:w="110"/>
            </w:tcMar>
          </w:tcPr>
          <w:p>
            <w:pPr>
              <w:spacing w:after="40" w:before="40" w:line="250"/>
            </w:pPr>
            <w:r>
              <w:rPr>
                <w:rFonts w:ascii="Calibri" w:cs="Calibri" w:eastAsia="Calibri" w:hAnsi="Calibri"/>
                <w:b/>
                <w:bCs/>
                <w:i w:val="false"/>
                <w:iCs w:val="false"/>
                <w:color w:val="000000"/>
                <w:sz w:val="20"/>
                <w:szCs w:val="20"/>
              </w:rPr>
              <w:t xml:space="preserve">Collecting</w:t>
            </w:r>
          </w:p>
        </w:tc>
        <w:tc>
          <w:tcPr>
            <w:tcW w:type="dxa" w:w="44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one thing the leave is waiting on</w:t>
            </w:r>
          </w:p>
        </w:tc>
      </w:tr>
      <w:tr>
        <w:tc>
          <w:tcPr>
            <w:tcW w:type="dxa" w:w="34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alarm for real lab campaigns</w:t>
            </w:r>
          </w:p>
        </w:tc>
        <w:tc>
          <w:tcPr>
            <w:tcW w:type="dxa" w:w="1500"/>
            <w:shd w:fill="F4F6F7"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000000"/>
                <w:sz w:val="20"/>
                <w:szCs w:val="20"/>
              </w:rPr>
              <w:t xml:space="preserve">Available</w:t>
            </w:r>
          </w:p>
        </w:tc>
        <w:tc>
          <w:tcPr>
            <w:tcW w:type="dxa" w:w="446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A switch when a project is created; Deepak can use it without me</w:t>
            </w:r>
          </w:p>
        </w:tc>
      </w:tr>
      <w:tr>
        <w:tc>
          <w:tcPr>
            <w:tcW w:type="dxa" w:w="34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Analysis and manuscript</w:t>
            </w:r>
          </w:p>
        </w:tc>
        <w:tc>
          <w:tcPr>
            <w:tcW w:type="dxa" w:w="1500"/>
            <w:tcMar>
              <w:top w:type="dxa" w:w="60"/>
              <w:left w:type="dxa" w:w="110"/>
              <w:bottom w:type="dxa" w:w="60"/>
              <w:right w:type="dxa" w:w="110"/>
            </w:tcMar>
          </w:tcPr>
          <w:p>
            <w:pPr>
              <w:spacing w:after="40" w:before="40" w:line="250"/>
            </w:pPr>
            <w:r>
              <w:rPr>
                <w:rFonts w:ascii="Calibri" w:cs="Calibri" w:eastAsia="Calibri" w:hAnsi="Calibri"/>
                <w:b/>
                <w:bCs/>
                <w:i w:val="false"/>
                <w:iCs w:val="false"/>
                <w:color w:val="000000"/>
                <w:sz w:val="20"/>
                <w:szCs w:val="20"/>
              </w:rPr>
              <w:t xml:space="preserve">On return</w:t>
            </w:r>
          </w:p>
        </w:tc>
        <w:tc>
          <w:tcPr>
            <w:tcW w:type="dxa" w:w="44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frame is decided; the numbers wait for the participants</w:t>
            </w:r>
          </w:p>
        </w:tc>
      </w:tr>
    </w:tbl>
    <w:p>
      <w:pPr>
        <w:spacing w:after="160"/>
      </w:pPr>
    </w:p>
    <w:p>
      <w:pPr>
        <w:pStyle w:val="Heading1"/>
        <w:spacing w:after="140" w:before="320"/>
      </w:pPr>
      <w:r>
        <w:rPr>
          <w:rFonts w:ascii="Calibri" w:cs="Calibri" w:eastAsia="Calibri" w:hAnsi="Calibri"/>
          <w:b/>
          <w:bCs/>
          <w:color w:val="176F8B"/>
          <w:sz w:val="26"/>
          <w:szCs w:val="26"/>
        </w:rPr>
        <w:t xml:space="preserve">2. What has been done, and what it settled</w:t>
      </w:r>
    </w:p>
    <w:p>
      <w:pPr>
        <w:spacing w:after="110" w:line="264"/>
      </w:pPr>
      <w:r>
        <w:rPr>
          <w:rFonts w:ascii="Calibri" w:cs="Calibri" w:eastAsia="Calibri" w:hAnsi="Calibri"/>
          <w:b w:val="false"/>
          <w:bCs w:val="false"/>
          <w:i w:val="false"/>
          <w:iCs w:val="false"/>
          <w:color w:val="000000"/>
          <w:sz w:val="22"/>
          <w:szCs w:val="22"/>
        </w:rPr>
        <w:t xml:space="preserve">Seven results, in the order they were needed. Each one is recorded with its date and its measurement in </w:t>
      </w:r>
      <w:r>
        <w:rPr>
          <w:rFonts w:ascii="Consolas" w:cs="Consolas" w:eastAsia="Consolas" w:hAnsi="Consolas"/>
          <w:b w:val="false"/>
          <w:bCs w:val="false"/>
          <w:i w:val="false"/>
          <w:iCs w:val="false"/>
          <w:color w:val="000000"/>
          <w:sz w:val="19"/>
          <w:szCs w:val="19"/>
        </w:rPr>
        <w:t xml:space="preserve">hitl_bench/CLAUDE.md</w:t>
      </w:r>
      <w:r>
        <w:rPr>
          <w:rFonts w:ascii="Calibri" w:cs="Calibri" w:eastAsia="Calibri" w:hAnsi="Calibri"/>
          <w:b w:val="false"/>
          <w:bCs w:val="false"/>
          <w:i w:val="false"/>
          <w:iCs w:val="false"/>
          <w:color w:val="000000"/>
          <w:sz w:val="22"/>
          <w:szCs w:val="22"/>
        </w:rPr>
        <w:t xml:space="preserve">; the narrative version is the weekly report of 7–13 September.</w:t>
      </w:r>
    </w:p>
    <w:p>
      <w:pPr>
        <w:pStyle w:val="Heading2"/>
        <w:spacing w:after="90" w:before="200"/>
      </w:pPr>
      <w:r>
        <w:rPr>
          <w:rFonts w:ascii="Calibri" w:cs="Calibri" w:eastAsia="Calibri" w:hAnsi="Calibri"/>
          <w:b/>
          <w:bCs/>
          <w:color w:val="333333"/>
          <w:sz w:val="23"/>
          <w:szCs w:val="23"/>
        </w:rPr>
        <w:t xml:space="preserve">a. A benchmark that can be trusted</w:t>
      </w:r>
    </w:p>
    <w:p>
      <w:pPr>
        <w:spacing w:after="110" w:line="264"/>
      </w:pPr>
      <w:r>
        <w:rPr>
          <w:rFonts w:ascii="Calibri" w:cs="Calibri" w:eastAsia="Calibri" w:hAnsi="Calibri"/>
          <w:b w:val="false"/>
          <w:bCs w:val="false"/>
          <w:i w:val="false"/>
          <w:iCs w:val="false"/>
          <w:color w:val="000000"/>
          <w:sz w:val="22"/>
          <w:szCs w:val="22"/>
        </w:rPr>
        <w:t xml:space="preserve">The four Reizman Suzuki couplings as complete published grids (5,670 conditions each) and the C–H arylation of Shields et al. (1,728 conditions, real measurements, yield against reagent cost). No emulator: a campaign looks its results up. The bench was moved inside REACTO and calls the application’s own optimiser, so whatever the study concludes is about the tool the chemists actually use.</w:t>
      </w:r>
    </w:p>
    <w:p>
      <w:pPr>
        <w:pStyle w:val="Heading2"/>
        <w:spacing w:after="90" w:before="200"/>
      </w:pPr>
      <w:r>
        <w:rPr>
          <w:rFonts w:ascii="Calibri" w:cs="Calibri" w:eastAsia="Calibri" w:hAnsi="Calibri"/>
          <w:b/>
          <w:bCs/>
          <w:color w:val="333333"/>
          <w:sz w:val="23"/>
          <w:szCs w:val="23"/>
        </w:rPr>
        <w:t xml:space="preserve">b. Reproducibility, which was blocking the paired design</w:t>
      </w:r>
    </w:p>
    <w:p>
      <w:pPr>
        <w:spacing w:after="110" w:line="264"/>
      </w:pPr>
      <w:r>
        <w:rPr>
          <w:rFonts w:ascii="Calibri" w:cs="Calibri" w:eastAsia="Calibri" w:hAnsi="Calibri"/>
          <w:b w:val="false"/>
          <w:bCs w:val="false"/>
          <w:i w:val="false"/>
          <w:iCs w:val="false"/>
          <w:color w:val="000000"/>
          <w:sz w:val="22"/>
          <w:szCs w:val="22"/>
        </w:rPr>
        <w:t xml:space="preserve">Two identical runs diverged. The cause was in REACTO: the BoFire strategy was built without a seed and drew a fresh one from the operating system at every acquisition step. </w:t>
      </w:r>
      <w:r>
        <w:rPr>
          <w:rFonts w:ascii="Consolas" w:cs="Consolas" w:eastAsia="Consolas" w:hAnsi="Consolas"/>
          <w:b w:val="false"/>
          <w:bCs w:val="false"/>
          <w:i w:val="false"/>
          <w:iCs w:val="false"/>
          <w:color w:val="000000"/>
          <w:sz w:val="19"/>
          <w:szCs w:val="19"/>
        </w:rPr>
        <w:t xml:space="preserve">bayesian_optimization()</w:t>
      </w:r>
      <w:r>
        <w:rPr>
          <w:rFonts w:ascii="Calibri" w:cs="Calibri" w:eastAsia="Calibri" w:hAnsi="Calibri"/>
          <w:b w:val="false"/>
          <w:bCs w:val="false"/>
          <w:i w:val="false"/>
          <w:iCs w:val="false"/>
          <w:color w:val="000000"/>
          <w:sz w:val="22"/>
          <w:szCs w:val="22"/>
        </w:rPr>
        <w:t xml:space="preserve"> now accepts a seed; with none, the application behaves exactly as before. Campaigns replay to the twelfth decimal and a fork reproduces its parent exactly. The 51 campaigns run before the fix stay valid as independent samples but cannot serve as controls, so everything downstream was recomputed.</w:t>
      </w:r>
    </w:p>
    <w:p>
      <w:pPr>
        <w:pStyle w:val="Heading2"/>
        <w:spacing w:after="90" w:before="200"/>
      </w:pPr>
      <w:r>
        <w:rPr>
          <w:rFonts w:ascii="Calibri" w:cs="Calibri" w:eastAsia="Calibri" w:hAnsi="Calibri"/>
          <w:b/>
          <w:bCs/>
          <w:color w:val="333333"/>
          <w:sz w:val="23"/>
          <w:szCs w:val="23"/>
        </w:rPr>
        <w:t xml:space="preserve">c. The trap is real, frequent, and it is a chemistry trap</w:t>
      </w:r>
    </w:p>
    <w:p>
      <w:pPr>
        <w:spacing w:after="110" w:line="264"/>
      </w:pPr>
      <w:r>
        <w:rPr>
          <w:rFonts w:ascii="Calibri" w:cs="Calibri" w:eastAsia="Calibri" w:hAnsi="Calibri"/>
          <w:b w:val="false"/>
          <w:bCs w:val="false"/>
          <w:i w:val="false"/>
          <w:iCs w:val="false"/>
          <w:color w:val="000000"/>
          <w:sz w:val="22"/>
          <w:szCs w:val="22"/>
        </w:rPr>
        <w:t xml:space="preserve">20 campaigns per reaction, each from a different random start of ten experiments followed by thirty optimiser proposals. Campaigns ending below 90 % of the best achievable result: </w:t>
      </w:r>
      <w:r>
        <w:rPr>
          <w:rFonts w:ascii="Calibri" w:cs="Calibri" w:eastAsia="Calibri" w:hAnsi="Calibri"/>
          <w:b/>
          <w:bCs/>
          <w:i w:val="false"/>
          <w:iCs w:val="false"/>
          <w:color w:val="000000"/>
          <w:sz w:val="22"/>
          <w:szCs w:val="22"/>
        </w:rPr>
        <w:t xml:space="preserve">13 of 20</w:t>
      </w:r>
      <w:r>
        <w:rPr>
          <w:rFonts w:ascii="Calibri" w:cs="Calibri" w:eastAsia="Calibri" w:hAnsi="Calibri"/>
          <w:b w:val="false"/>
          <w:bCs w:val="false"/>
          <w:i w:val="false"/>
          <w:iCs w:val="false"/>
          <w:color w:val="000000"/>
          <w:sz w:val="22"/>
          <w:szCs w:val="22"/>
        </w:rPr>
        <w:t xml:space="preserve"> on Suzuki case II, 5 of 20 on case I, 10 of 20 on the arylation. Always the same mechanism — a winning catalyst tried once under bad conditions, giving 0 %, and never tried again. That base rate is what lets a reader weight the case study back to an average benefit.</w:t>
      </w:r>
    </w:p>
    <w:p>
      <w:pPr>
        <w:pStyle w:val="Heading2"/>
        <w:spacing w:after="90" w:before="200"/>
      </w:pPr>
      <w:r>
        <w:rPr>
          <w:rFonts w:ascii="Calibri" w:cs="Calibri" w:eastAsia="Calibri" w:hAnsi="Calibri"/>
          <w:b/>
          <w:bCs/>
          <w:color w:val="333333"/>
          <w:sz w:val="23"/>
          <w:szCs w:val="23"/>
        </w:rPr>
        <w:t xml:space="preserve">d. The trap comes from the starting design, not from the optimiser’s luck</w:t>
      </w:r>
    </w:p>
    <w:p>
      <w:pPr>
        <w:spacing w:after="110" w:line="264"/>
      </w:pPr>
      <w:r>
        <w:rPr>
          <w:rFonts w:ascii="Calibri" w:cs="Calibri" w:eastAsia="Calibri" w:hAnsi="Calibri"/>
          <w:b w:val="false"/>
          <w:bCs w:val="false"/>
          <w:i w:val="false"/>
          <w:iCs w:val="false"/>
          <w:color w:val="000000"/>
          <w:sz w:val="22"/>
          <w:szCs w:val="22"/>
        </w:rPr>
        <w:t xml:space="preserve">Asked on 12 September, once the acquisition could be seeded: the ten starting conditions were held fixed and the optimiser re-run with four different internal seeds. Identical outcome every time (72.5 % on the arylation, 37.3 % on Suzuki II), on a benchmark with tied acquisition maxima and on one without. This decided how the study is framed: a </w:t>
      </w:r>
      <w:r>
        <w:rPr>
          <w:rFonts w:ascii="Calibri" w:cs="Calibri" w:eastAsia="Calibri" w:hAnsi="Calibri"/>
          <w:b/>
          <w:bCs/>
          <w:i w:val="false"/>
          <w:iCs w:val="false"/>
          <w:color w:val="000000"/>
          <w:sz w:val="22"/>
          <w:szCs w:val="22"/>
        </w:rPr>
        <w:t xml:space="preserve">case study on trapped initial designs</w:t>
      </w:r>
      <w:r>
        <w:rPr>
          <w:rFonts w:ascii="Calibri" w:cs="Calibri" w:eastAsia="Calibri" w:hAnsi="Calibri"/>
          <w:b w:val="false"/>
          <w:bCs w:val="false"/>
          <w:i w:val="false"/>
          <w:iCs w:val="false"/>
          <w:color w:val="000000"/>
          <w:sz w:val="22"/>
          <w:szCs w:val="22"/>
        </w:rPr>
        <w:t xml:space="preserve">, not a claim about an average benefit that five chemists could not support.</w:t>
      </w:r>
    </w:p>
    <w:p>
      <w:pPr>
        <w:pStyle w:val="Heading2"/>
        <w:spacing w:after="90" w:before="200"/>
      </w:pPr>
      <w:r>
        <w:rPr>
          <w:rFonts w:ascii="Calibri" w:cs="Calibri" w:eastAsia="Calibri" w:hAnsi="Calibri"/>
          <w:b/>
          <w:bCs/>
          <w:color w:val="333333"/>
          <w:sz w:val="23"/>
          <w:szCs w:val="23"/>
        </w:rPr>
        <w:t xml:space="preserve">e. The alarm: it books an appointment, it does not diagnose</w:t>
      </w:r>
    </w:p>
    <w:p>
      <w:pPr>
        <w:spacing w:after="110" w:line="264"/>
      </w:pPr>
      <w:r>
        <w:rPr>
          <w:rFonts w:ascii="Calibri" w:cs="Calibri" w:eastAsia="Calibri" w:hAnsi="Calibri"/>
          <w:b w:val="false"/>
          <w:bCs w:val="false"/>
          <w:i w:val="false"/>
          <w:iCs w:val="false"/>
          <w:color w:val="000000"/>
          <w:sz w:val="22"/>
          <w:szCs w:val="22"/>
        </w:rPr>
        <w:t xml:space="preserve">Several candidate signals were tested and rejected: none can tell a trapped campaign from a healthy one that is merely slowing down, because from the inside they look the same — only the identity of the catalyst differs, and that is what the campaign cannot know. What remains is to call the chemist whenever progress stalls, which is cheap: interrupting a healthy campaign costs one experiment in thirty, a trap costs half the result.</w:t>
      </w:r>
    </w:p>
    <w:p>
      <w:pPr>
        <w:shd w:fill="F4F6F7" w:color="auto" w:val="clear"/>
        <w:spacing w:after="0" w:line="240"/>
        <w:ind w:left="200"/>
      </w:pPr>
      <w:r>
        <w:rPr>
          <w:rFonts w:ascii="Consolas" w:cs="Consolas" w:eastAsia="Consolas" w:hAnsi="Consolas"/>
          <w:color w:val="1A1A1A"/>
          <w:sz w:val="19"/>
          <w:szCs w:val="19"/>
        </w:rPr>
        <w:t xml:space="preserve">P*  = progress over the last 5 experiments / average progress since the start</w:t>
      </w:r>
    </w:p>
    <w:p>
      <w:pPr>
        <w:shd w:fill="F4F6F7" w:color="auto" w:val="clear"/>
        <w:spacing w:after="140" w:line="240"/>
        <w:ind w:left="200"/>
      </w:pPr>
      <w:r>
        <w:rPr>
          <w:rFonts w:ascii="Consolas" w:cs="Consolas" w:eastAsia="Consolas" w:hAnsi="Consolas"/>
          <w:color w:val="1A1A1A"/>
          <w:sz w:val="19"/>
          <w:szCs w:val="19"/>
        </w:rPr>
        <w:t xml:space="preserve">fires below 0.30 | window 5 | cooldown 5 | never before experiment 15</w:t>
      </w:r>
    </w:p>
    <w:p>
      <w:pPr>
        <w:spacing w:after="110" w:line="264"/>
      </w:pPr>
      <w:r>
        <w:rPr>
          <w:rFonts w:ascii="Calibri" w:cs="Calibri" w:eastAsia="Calibri" w:hAnsi="Calibri"/>
          <w:b w:val="false"/>
          <w:bCs w:val="false"/>
          <w:i w:val="false"/>
          <w:iCs w:val="false"/>
          <w:color w:val="000000"/>
          <w:sz w:val="22"/>
          <w:szCs w:val="22"/>
        </w:rPr>
        <w:t xml:space="preserve">On case II it calls the chemist on every failed campaign, about 2.5 times each, first around experiment 22 with a quarter of the final gain still ahead. The one campaign it never interrupts is the one that reaches 100 % of the front. It also fires on healthy campaigns; that is accepted and stated.</w:t>
      </w:r>
    </w:p>
    <w:p>
      <w:pPr>
        <w:pStyle w:val="Heading2"/>
        <w:spacing w:after="90" w:before="200"/>
      </w:pPr>
      <w:r>
        <w:rPr>
          <w:rFonts w:ascii="Calibri" w:cs="Calibri" w:eastAsia="Calibri" w:hAnsi="Calibri"/>
          <w:b/>
          <w:bCs/>
          <w:color w:val="333333"/>
          <w:sz w:val="23"/>
          <w:szCs w:val="23"/>
        </w:rPr>
        <w:t xml:space="preserve">f. What chance achieves, so that the chemists are judged against something</w:t>
      </w:r>
    </w:p>
    <w:p>
      <w:pPr>
        <w:spacing w:after="110" w:line="264"/>
      </w:pPr>
      <w:r>
        <w:rPr>
          <w:rFonts w:ascii="Calibri" w:cs="Calibri" w:eastAsia="Calibri" w:hAnsi="Calibri"/>
          <w:b w:val="false"/>
          <w:bCs w:val="false"/>
          <w:i w:val="false"/>
          <w:iCs w:val="false"/>
          <w:color w:val="000000"/>
          <w:sz w:val="22"/>
          <w:szCs w:val="22"/>
        </w:rPr>
        <w:t xml:space="preserve">On the arylation: 20 campaigns, 40 random branches, 130 interventions. A random condition at the alarm changes the final result by </w:t>
      </w:r>
      <w:r>
        <w:rPr>
          <w:rFonts w:ascii="Calibri" w:cs="Calibri" w:eastAsia="Calibri" w:hAnsi="Calibri"/>
          <w:b/>
          <w:bCs/>
          <w:i w:val="false"/>
          <w:iCs w:val="false"/>
          <w:color w:val="000000"/>
          <w:sz w:val="22"/>
          <w:szCs w:val="22"/>
        </w:rPr>
        <w:t xml:space="preserve">+1.3 points</w:t>
      </w:r>
      <w:r>
        <w:rPr>
          <w:rFonts w:ascii="Calibri" w:cs="Calibri" w:eastAsia="Calibri" w:hAnsi="Calibri"/>
          <w:b w:val="false"/>
          <w:bCs w:val="false"/>
          <w:i w:val="false"/>
          <w:iCs w:val="false"/>
          <w:color w:val="000000"/>
          <w:sz w:val="22"/>
          <w:szCs w:val="22"/>
        </w:rPr>
        <w:t xml:space="preserve"> on average (18 branches better, 11 unchanged, 11 worse, range −27 to +23). Two lessons: anything the chemists gain above this is knowledge rather than luck, and small samples flatter — the same estimate read +4.0 at 11 branches and +2.7 at 19. The chemists’ result must be read paired against this arm, never as a mean on its own.</w:t>
      </w:r>
    </w:p>
    <w:p>
      <w:pPr>
        <w:pStyle w:val="Heading2"/>
        <w:spacing w:after="90" w:before="200"/>
      </w:pPr>
      <w:r>
        <w:rPr>
          <w:rFonts w:ascii="Calibri" w:cs="Calibri" w:eastAsia="Calibri" w:hAnsi="Calibri"/>
          <w:b/>
          <w:bCs/>
          <w:color w:val="333333"/>
          <w:sz w:val="23"/>
          <w:szCs w:val="23"/>
        </w:rPr>
        <w:t xml:space="preserve">g. The chemists’ layer, built and deployed</w:t>
      </w:r>
    </w:p>
    <w:p>
      <w:pPr>
        <w:spacing w:after="110" w:line="264"/>
      </w:pPr>
      <w:r>
        <w:rPr>
          <w:rFonts w:ascii="Calibri" w:cs="Calibri" w:eastAsia="Calibri" w:hAnsi="Calibri"/>
          <w:b w:val="false"/>
          <w:bCs w:val="false"/>
          <w:i w:val="false"/>
          <w:iCs w:val="false"/>
          <w:color w:val="000000"/>
          <w:sz w:val="22"/>
          <w:szCs w:val="22"/>
        </w:rPr>
        <w:t xml:space="preserve">A page in REACTO rather than a form or a notebook: the chemist reads the chemistry (scheme, catalysts drawn, conditions, price per gram), watches the assigned campaign replay one experiment per second, and at the alarm chooses one of three answers with a reason that is now mandatory. Three trapped campaigns are assigned, one per reaction — case I seed 8 (69 %, alarm at 20), case II seed 12 (44 %, alarm at 16), arylation seed 2 (72 %, alarm at 16) — so every participant sees the same thing. The optimiser alone and the random arm are already measured on those same campaigns; the chemists’ branch is what is missing. Around 30 to 45 minutes per chemist, resumable.</w:t>
      </w:r>
    </w:p>
    <w:p>
      <w:pPr>
        <w:spacing w:after="180" w:line="264"/>
      </w:pPr>
      <w:r>
        <w:rPr>
          <w:rFonts w:ascii="Calibri" w:cs="Calibri" w:eastAsia="Calibri" w:hAnsi="Calibri"/>
          <w:b w:val="false"/>
          <w:bCs w:val="false"/>
          <w:i w:val="false"/>
          <w:iCs w:val="false"/>
          <w:color w:val="000000"/>
          <w:sz w:val="22"/>
          <w:szCs w:val="22"/>
        </w:rPr>
        <w:t xml:space="preserve">It runs on the CiTOS virtual machine behind nginx, with a nightly backup of the participants’ files, and the invitation and protocol are written. The same alarm is also available in an ordinary REACTO project, switched on when the project is created, so lab campaigns can use it — Deepak needs nothing from me for that.</w:t>
      </w:r>
    </w:p>
    <w:p>
      <w:pPr>
        <w:pStyle w:val="Heading1"/>
        <w:spacing w:after="140" w:before="320"/>
      </w:pPr>
      <w:r>
        <w:rPr>
          <w:rFonts w:ascii="Calibri" w:cs="Calibri" w:eastAsia="Calibri" w:hAnsi="Calibri"/>
          <w:b/>
          <w:bCs/>
          <w:color w:val="176F8B"/>
          <w:sz w:val="26"/>
          <w:szCs w:val="26"/>
        </w:rPr>
        <w:t xml:space="preserve">3. What runs during the leave</w:t>
      </w:r>
    </w:p>
    <w:p>
      <w:pPr>
        <w:spacing w:after="110" w:line="264"/>
      </w:pPr>
      <w:r>
        <w:rPr>
          <w:rFonts w:ascii="Calibri" w:cs="Calibri" w:eastAsia="Calibri" w:hAnsi="Calibri"/>
          <w:b w:val="false"/>
          <w:bCs w:val="false"/>
          <w:i w:val="false"/>
          <w:iCs w:val="false"/>
          <w:color w:val="000000"/>
          <w:sz w:val="22"/>
          <w:szCs w:val="22"/>
        </w:rPr>
        <w:t xml:space="preserve">Nothing here needs a decision from me. The rule that governs all of it: </w:t>
      </w:r>
      <w:r>
        <w:rPr>
          <w:rFonts w:ascii="Calibri" w:cs="Calibri" w:eastAsia="Calibri" w:hAnsi="Calibri"/>
          <w:b/>
          <w:bCs/>
          <w:i w:val="false"/>
          <w:iCs w:val="false"/>
          <w:color w:val="000000"/>
          <w:sz w:val="22"/>
          <w:szCs w:val="22"/>
        </w:rPr>
        <w:t xml:space="preserve">the study does not change while it collects</w:t>
      </w:r>
      <w:r>
        <w:rPr>
          <w:rFonts w:ascii="Calibri" w:cs="Calibri" w:eastAsia="Calibri" w:hAnsi="Calibri"/>
          <w:b w:val="false"/>
          <w:bCs w:val="false"/>
          <w:i w:val="false"/>
          <w:iCs w:val="false"/>
          <w:color w:val="000000"/>
          <w:sz w:val="22"/>
          <w:szCs w:val="22"/>
        </w:rPr>
        <w:t xml:space="preserve"> — not the page, not the grids, not the alarm’s settings, not the assigned campaigns. Every participant must see the same thing, or the comparison is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260"/>
      </w:tblGrid>
      <w:tr>
        <w:trPr>
          <w:tblHeader/>
        </w:trPr>
        <w:tc>
          <w:tcPr>
            <w:tcW w:type="dxa" w:w="3200"/>
            <w:shd w:fill="176F8B"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FFFFFF"/>
                <w:sz w:val="20"/>
                <w:szCs w:val="20"/>
              </w:rPr>
              <w:t xml:space="preserve">Task</w:t>
            </w:r>
          </w:p>
        </w:tc>
        <w:tc>
          <w:tcPr>
            <w:tcW w:type="dxa" w:w="1900"/>
            <w:shd w:fill="176F8B"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FFFFFF"/>
                <w:sz w:val="20"/>
                <w:szCs w:val="20"/>
              </w:rPr>
              <w:t xml:space="preserve">Who</w:t>
            </w:r>
          </w:p>
        </w:tc>
        <w:tc>
          <w:tcPr>
            <w:tcW w:type="dxa" w:w="4260"/>
            <w:shd w:fill="176F8B"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FFFFFF"/>
                <w:sz w:val="20"/>
                <w:szCs w:val="20"/>
              </w:rPr>
              <w:t xml:space="preserve">What it involves</w:t>
            </w:r>
          </w:p>
        </w:tc>
      </w:tr>
      <w:tr>
        <w:tc>
          <w:tcPr>
            <w:tcW w:type="dxa" w:w="32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chemists run their three campaigns</w:t>
            </w:r>
          </w:p>
        </w:tc>
        <w:tc>
          <w:tcPr>
            <w:tcW w:type="dxa" w:w="19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five participants</w:t>
            </w:r>
          </w:p>
        </w:tc>
        <w:tc>
          <w:tcPr>
            <w:tcW w:type="dxa" w:w="42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A link and a one-page invitation; 30–45 minutes each, alone, no discussion between them until everyone has finished. Deadline to be set at the meeting.</w:t>
            </w:r>
          </w:p>
        </w:tc>
      </w:tr>
      <w:tr>
        <w:tc>
          <w:tcPr>
            <w:tcW w:type="dxa" w:w="32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Keep the page up</w:t>
            </w:r>
          </w:p>
        </w:tc>
        <w:tc>
          <w:tcPr>
            <w:tcW w:type="dxa" w:w="19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Pauline</w:t>
            </w:r>
          </w:p>
        </w:tc>
        <w:tc>
          <w:tcPr>
            <w:tcW w:type="dxa" w:w="426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A weekly look at the service and a restart if needed; the code-support card lists the five commands and the usual symptoms.</w:t>
            </w:r>
          </w:p>
        </w:tc>
      </w:tr>
      <w:tr>
        <w:tc>
          <w:tcPr>
            <w:tcW w:type="dxa" w:w="32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Protect the answers</w:t>
            </w:r>
          </w:p>
        </w:tc>
        <w:tc>
          <w:tcPr>
            <w:tcW w:type="dxa" w:w="19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Pauline</w:t>
            </w:r>
          </w:p>
        </w:tc>
        <w:tc>
          <w:tcPr>
            <w:tcW w:type="dxa" w:w="42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nightly archive exists on the VM; one copy taken off the VM from time to time. The participants’ files are the only irreplaceable thing in the study.</w:t>
            </w:r>
          </w:p>
        </w:tc>
      </w:tr>
      <w:tr>
        <w:tc>
          <w:tcPr>
            <w:tcW w:type="dxa" w:w="32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Install the new certificate</w:t>
            </w:r>
          </w:p>
        </w:tc>
        <w:tc>
          <w:tcPr>
            <w:tcW w:type="dxa" w:w="19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SEGI, then Pauline</w:t>
            </w:r>
          </w:p>
        </w:tc>
        <w:tc>
          <w:tcPr>
            <w:tcW w:type="dxa" w:w="426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July certificate was found revoked on 15 September and a replacement requested. Until it arrives the link works over http from the campus network or the VPN.</w:t>
            </w:r>
          </w:p>
        </w:tc>
      </w:tr>
      <w:tr>
        <w:tc>
          <w:tcPr>
            <w:tcW w:type="dxa" w:w="32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Lab campaigns with the alarm</w:t>
            </w:r>
          </w:p>
        </w:tc>
        <w:tc>
          <w:tcPr>
            <w:tcW w:type="dxa" w:w="19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Deepak</w:t>
            </w:r>
          </w:p>
        </w:tc>
        <w:tc>
          <w:tcPr>
            <w:tcW w:type="dxa" w:w="42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Independent of the study: he switches it on when he creates a project. Whether those campaigns become data in the article is a question for the meeting.</w:t>
            </w:r>
          </w:p>
        </w:tc>
      </w:tr>
      <w:tr>
        <w:tc>
          <w:tcPr>
            <w:tcW w:type="dxa" w:w="32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Answer a chemist who is stuck</w:t>
            </w:r>
          </w:p>
        </w:tc>
        <w:tc>
          <w:tcPr>
            <w:tcW w:type="dxa" w:w="19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Pauline</w:t>
            </w:r>
          </w:p>
        </w:tc>
        <w:tc>
          <w:tcPr>
            <w:tcW w:type="dxa" w:w="426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Almost always a reload or a Resume. A campaign already finished is not redone; the name is noted for me.</w:t>
            </w:r>
          </w:p>
        </w:tc>
      </w:tr>
    </w:tbl>
    <w:p>
      <w:pPr>
        <w:spacing w:after="160"/>
      </w:pPr>
    </w:p>
    <w:p>
      <w:pPr>
        <w:pStyle w:val="Heading1"/>
        <w:spacing w:after="140" w:before="320"/>
      </w:pPr>
      <w:r>
        <w:rPr>
          <w:rFonts w:ascii="Calibri" w:cs="Calibri" w:eastAsia="Calibri" w:hAnsi="Calibri"/>
          <w:b/>
          <w:bCs/>
          <w:color w:val="176F8B"/>
          <w:sz w:val="26"/>
          <w:szCs w:val="26"/>
        </w:rPr>
        <w:t xml:space="preserve">4. What waits for the return, and why it waits</w:t>
      </w:r>
    </w:p>
    <w:p>
      <w:pPr>
        <w:spacing w:after="110" w:line="264"/>
      </w:pPr>
      <w:r>
        <w:rPr>
          <w:rFonts w:ascii="Calibri" w:cs="Calibri" w:eastAsia="Calibri" w:hAnsi="Calibri"/>
          <w:b w:val="false"/>
          <w:bCs w:val="false"/>
          <w:i w:val="false"/>
          <w:iCs w:val="false"/>
          <w:color w:val="000000"/>
          <w:sz w:val="22"/>
          <w:szCs w:val="22"/>
        </w:rPr>
        <w:t xml:space="preserve">These are not delays to be recovered: each one either depends on the participants’ answers or is a scientific decision I would rather take myself, with the measurements in front of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176F8B"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FFFFFF"/>
                <w:sz w:val="20"/>
                <w:szCs w:val="20"/>
              </w:rPr>
              <w:t xml:space="preserve">Task</w:t>
            </w:r>
          </w:p>
        </w:tc>
        <w:tc>
          <w:tcPr>
            <w:tcW w:type="dxa" w:w="5560"/>
            <w:shd w:fill="176F8B"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FFFFFF"/>
                <w:sz w:val="20"/>
                <w:szCs w:val="20"/>
              </w:rPr>
              <w:t xml:space="preserve">Why it waits</w:t>
            </w:r>
          </w:p>
        </w:tc>
      </w:tr>
      <w:tr>
        <w:tc>
          <w:tcPr>
            <w:tcW w:type="dxa" w:w="38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random arm on the two Suzuki campaigns</w:t>
            </w:r>
          </w:p>
        </w:tc>
        <w:tc>
          <w:tcPr>
            <w:tcW w:type="dxa" w:w="55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Computed on the arylation only. About twelve hours of computation; it is the yardstick for the two other reactions and can be launched on my return, or earlier on my machine if the meeting wants the article to carry three reactions.</w:t>
            </w:r>
          </w:p>
        </w:tc>
      </w:tr>
      <w:tr>
        <w:tc>
          <w:tcPr>
            <w:tcW w:type="dxa" w:w="38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Twenty random draws at the first alarm</w:t>
            </w:r>
          </w:p>
        </w:tc>
        <w:tc>
          <w:tcPr>
            <w:tcW w:type="dxa" w:w="556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So that each chemist’s single answer can be placed by a percentile rather than compared with a mean — the right reading for a handful of participants.</w:t>
            </w:r>
          </w:p>
        </w:tc>
      </w:tr>
      <w:tr>
        <w:tc>
          <w:tcPr>
            <w:tcW w:type="dxa" w:w="38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How a stopped campaign is compared</w:t>
            </w:r>
          </w:p>
        </w:tc>
        <w:tc>
          <w:tcPr>
            <w:tcW w:type="dxa" w:w="55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Open question, deliberately: a campaign stopped at experiment 25 cannot be compared with a control that spent 40. Three readings are possible; the collection script reports both paired readings and decides nothing, so no data are lost while it is open.</w:t>
            </w:r>
          </w:p>
        </w:tc>
      </w:tr>
      <w:tr>
        <w:tc>
          <w:tcPr>
            <w:tcW w:type="dxa" w:w="38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Blind validation on cases III and IV</w:t>
            </w:r>
          </w:p>
        </w:tc>
        <w:tc>
          <w:tcPr>
            <w:tcW w:type="dxa" w:w="556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Reserved from the start and never used for any choice. To be applied once, at the end, and reported whatever it says — after the human layer, not before.</w:t>
            </w:r>
          </w:p>
        </w:tc>
      </w:tr>
      <w:tr>
        <w:tc>
          <w:tcPr>
            <w:tcW w:type="dxa" w:w="38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Permissions for the published figures</w:t>
            </w:r>
          </w:p>
        </w:tc>
        <w:tc>
          <w:tcPr>
            <w:tcW w:type="dxa" w:w="55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arylation page shows a figure from Shields et al.; the Suzuki scheme needs its source credited. Needed for the manuscript, not for the study.</w:t>
            </w:r>
          </w:p>
        </w:tc>
      </w:tr>
      <w:tr>
        <w:tc>
          <w:tcPr>
            <w:tcW w:type="dxa" w:w="38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Analysis and manuscript</w:t>
            </w:r>
          </w:p>
        </w:tc>
        <w:tc>
          <w:tcPr>
            <w:tcW w:type="dxa" w:w="556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frame is decided and written down; the numbers are the participants’ answers, which do not exist yet.</w:t>
            </w:r>
          </w:p>
        </w:tc>
      </w:tr>
    </w:tbl>
    <w:p>
      <w:pPr>
        <w:spacing w:after="160"/>
      </w:pPr>
    </w:p>
    <w:p>
      <w:pPr>
        <w:pStyle w:val="Heading1"/>
        <w:spacing w:after="140" w:before="320"/>
      </w:pPr>
      <w:r>
        <w:rPr>
          <w:rFonts w:ascii="Calibri" w:cs="Calibri" w:eastAsia="Calibri" w:hAnsi="Calibri"/>
          <w:b/>
          <w:bCs/>
          <w:color w:val="176F8B"/>
          <w:sz w:val="26"/>
          <w:szCs w:val="26"/>
        </w:rPr>
        <w:t xml:space="preserve">5. What I would like decided at the meeting</w:t>
      </w:r>
    </w:p>
    <w:p>
      <w:pPr>
        <w:pStyle w:val="ListParagraph"/>
        <w:numPr>
          <w:ilvl w:val="0"/>
          <w:numId w:val="2"/>
        </w:numPr>
        <w:spacing w:after="60" w:line="264"/>
      </w:pPr>
      <w:r>
        <w:rPr>
          <w:rFonts w:ascii="Calibri" w:cs="Calibri" w:eastAsia="Calibri" w:hAnsi="Calibri"/>
          <w:b/>
          <w:bCs/>
          <w:i w:val="false"/>
          <w:iCs w:val="false"/>
          <w:sz w:val="22"/>
          <w:szCs w:val="22"/>
        </w:rPr>
        <w:t xml:space="preserve">The participants and the deadline.</w:t>
      </w:r>
      <w:r>
        <w:rPr>
          <w:rFonts w:ascii="Calibri" w:cs="Calibri" w:eastAsia="Calibri" w:hAnsi="Calibri"/>
          <w:b w:val="false"/>
          <w:bCs w:val="false"/>
          <w:i w:val="false"/>
          <w:iCs w:val="false"/>
          <w:sz w:val="22"/>
          <w:szCs w:val="22"/>
        </w:rPr>
        <w:t xml:space="preserve"> Who exactly, and by when. The invitation is written and waits only for the final link and a date.</w:t>
      </w:r>
    </w:p>
    <w:p>
      <w:pPr>
        <w:pStyle w:val="ListParagraph"/>
        <w:numPr>
          <w:ilvl w:val="0"/>
          <w:numId w:val="2"/>
        </w:numPr>
        <w:spacing w:after="60" w:line="264"/>
      </w:pPr>
      <w:r>
        <w:rPr>
          <w:rFonts w:ascii="Calibri" w:cs="Calibri" w:eastAsia="Calibri" w:hAnsi="Calibri"/>
          <w:b/>
          <w:bCs/>
          <w:i w:val="false"/>
          <w:iCs w:val="false"/>
          <w:sz w:val="22"/>
          <w:szCs w:val="22"/>
        </w:rPr>
        <w:t xml:space="preserve">How many reactions the article carries.</w:t>
      </w:r>
      <w:r>
        <w:rPr>
          <w:rFonts w:ascii="Calibri" w:cs="Calibri" w:eastAsia="Calibri" w:hAnsi="Calibri"/>
          <w:b w:val="false"/>
          <w:bCs w:val="false"/>
          <w:i w:val="false"/>
          <w:iCs w:val="false"/>
          <w:sz w:val="22"/>
          <w:szCs w:val="22"/>
        </w:rPr>
        <w:t xml:space="preserve"> Three is the plan, but the random arm exists only on the arylation; two more nights of computation buy the other two, and that is worth deciding before I leave rather than after.</w:t>
      </w:r>
    </w:p>
    <w:p>
      <w:pPr>
        <w:pStyle w:val="ListParagraph"/>
        <w:numPr>
          <w:ilvl w:val="0"/>
          <w:numId w:val="2"/>
        </w:numPr>
        <w:spacing w:after="60" w:line="264"/>
      </w:pPr>
      <w:r>
        <w:rPr>
          <w:rFonts w:ascii="Calibri" w:cs="Calibri" w:eastAsia="Calibri" w:hAnsi="Calibri"/>
          <w:b/>
          <w:bCs/>
          <w:i w:val="false"/>
          <w:iCs w:val="false"/>
          <w:sz w:val="22"/>
          <w:szCs w:val="22"/>
        </w:rPr>
        <w:t xml:space="preserve">Whether Deepak’s lab campaigns become data.</w:t>
      </w:r>
      <w:r>
        <w:rPr>
          <w:rFonts w:ascii="Calibri" w:cs="Calibri" w:eastAsia="Calibri" w:hAnsi="Calibri"/>
          <w:b w:val="false"/>
          <w:bCs w:val="false"/>
          <w:i w:val="false"/>
          <w:iCs w:val="false"/>
          <w:sz w:val="22"/>
          <w:szCs w:val="22"/>
        </w:rPr>
        <w:t xml:space="preserve"> The alarm records every answer and its reason in a real campaign. That is a different object from the replayed study — richer, but not paired against anything. Worth saying now whether it is a section of the article or simply a demonstration that the tool is used.</w:t>
      </w:r>
    </w:p>
    <w:p>
      <w:pPr>
        <w:pStyle w:val="ListParagraph"/>
        <w:numPr>
          <w:ilvl w:val="0"/>
          <w:numId w:val="2"/>
        </w:numPr>
        <w:spacing w:after="60" w:line="264"/>
      </w:pPr>
      <w:r>
        <w:rPr>
          <w:rFonts w:ascii="Calibri" w:cs="Calibri" w:eastAsia="Calibri" w:hAnsi="Calibri"/>
          <w:b/>
          <w:bCs/>
          <w:i w:val="false"/>
          <w:iCs w:val="false"/>
          <w:sz w:val="22"/>
          <w:szCs w:val="22"/>
        </w:rPr>
        <w:t xml:space="preserve">What happens if fewer than five chemists answer.</w:t>
      </w:r>
      <w:r>
        <w:rPr>
          <w:rFonts w:ascii="Calibri" w:cs="Calibri" w:eastAsia="Calibri" w:hAnsi="Calibri"/>
          <w:b w:val="false"/>
          <w:bCs w:val="false"/>
          <w:i w:val="false"/>
          <w:iCs w:val="false"/>
          <w:sz w:val="22"/>
          <w:szCs w:val="22"/>
        </w:rPr>
        <w:t xml:space="preserve"> The case study frame survives three participants; below that it becomes an illustration. Better decided in advance than at the analysis.</w:t>
      </w:r>
    </w:p>
    <w:p>
      <w:pPr>
        <w:pStyle w:val="ListParagraph"/>
        <w:numPr>
          <w:ilvl w:val="0"/>
          <w:numId w:val="2"/>
        </w:numPr>
        <w:spacing w:after="60" w:line="264"/>
      </w:pPr>
      <w:r>
        <w:rPr>
          <w:rFonts w:ascii="Calibri" w:cs="Calibri" w:eastAsia="Calibri" w:hAnsi="Calibri"/>
          <w:b/>
          <w:bCs/>
          <w:i w:val="false"/>
          <w:iCs w:val="false"/>
          <w:sz w:val="22"/>
          <w:szCs w:val="22"/>
        </w:rPr>
        <w:t xml:space="preserve">Who may decide in my absence.</w:t>
      </w:r>
      <w:r>
        <w:rPr>
          <w:rFonts w:ascii="Calibri" w:cs="Calibri" w:eastAsia="Calibri" w:hAnsi="Calibri"/>
          <w:b w:val="false"/>
          <w:bCs w:val="false"/>
          <w:i w:val="false"/>
          <w:iCs w:val="false"/>
          <w:sz w:val="22"/>
          <w:szCs w:val="22"/>
        </w:rPr>
        <w:t xml:space="preserve"> My preference is that nothing scientific moves: Pauline keeps the page alive and the answers safe, and anything that would change what a participant sees waits for me.</w:t>
      </w:r>
    </w:p>
    <w:p>
      <w:pPr>
        <w:spacing w:after="160"/>
      </w:pPr>
    </w:p>
    <w:p>
      <w:pPr>
        <w:pStyle w:val="Heading1"/>
        <w:spacing w:after="140" w:before="320"/>
      </w:pPr>
      <w:r>
        <w:rPr>
          <w:rFonts w:ascii="Calibri" w:cs="Calibri" w:eastAsia="Calibri" w:hAnsi="Calibri"/>
          <w:b/>
          <w:bCs/>
          <w:color w:val="176F8B"/>
          <w:sz w:val="26"/>
          <w:szCs w:val="26"/>
        </w:rPr>
        <w:t xml:space="preserve">6. Risks, and what already covers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76F8B"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FFFFFF"/>
                <w:sz w:val="20"/>
                <w:szCs w:val="20"/>
              </w:rPr>
              <w:t xml:space="preserve">Risk</w:t>
            </w:r>
          </w:p>
        </w:tc>
        <w:tc>
          <w:tcPr>
            <w:tcW w:type="dxa" w:w="5960"/>
            <w:shd w:fill="176F8B" w:color="auto" w:val="clear"/>
            <w:tcMar>
              <w:top w:type="dxa" w:w="60"/>
              <w:left w:type="dxa" w:w="110"/>
              <w:bottom w:type="dxa" w:w="60"/>
              <w:right w:type="dxa" w:w="110"/>
            </w:tcMar>
          </w:tcPr>
          <w:p>
            <w:pPr>
              <w:spacing w:after="40" w:before="40" w:line="250"/>
            </w:pPr>
            <w:r>
              <w:rPr>
                <w:rFonts w:ascii="Calibri" w:cs="Calibri" w:eastAsia="Calibri" w:hAnsi="Calibri"/>
                <w:b/>
                <w:bCs/>
                <w:i w:val="false"/>
                <w:iCs w:val="false"/>
                <w:color w:val="FFFFFF"/>
                <w:sz w:val="20"/>
                <w:szCs w:val="20"/>
              </w:rPr>
              <w:t xml:space="preserve">Cover</w:t>
            </w:r>
          </w:p>
        </w:tc>
      </w:tr>
      <w:tr>
        <w:tc>
          <w:tcPr>
            <w:tcW w:type="dxa" w:w="34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participants’ answers are lost</w:t>
            </w:r>
          </w:p>
        </w:tc>
        <w:tc>
          <w:tcPr>
            <w:tcW w:type="dxa" w:w="59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Nightly archive on the VM, kept 60 days, plus copies taken off the VM. The answers are files, not a database; a restart never touches them.</w:t>
            </w:r>
          </w:p>
        </w:tc>
      </w:tr>
      <w:tr>
        <w:tc>
          <w:tcPr>
            <w:tcW w:type="dxa" w:w="34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page changes mid-study</w:t>
            </w:r>
          </w:p>
        </w:tc>
        <w:tc>
          <w:tcPr>
            <w:tcW w:type="dxa" w:w="596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Written as a rule in the handover and the code card: the page, the grids, the assigned campaigns and the trigger are frozen while the study runs. Updates only if I ask.</w:t>
            </w:r>
          </w:p>
        </w:tc>
      </w:tr>
      <w:tr>
        <w:tc>
          <w:tcPr>
            <w:tcW w:type="dxa" w:w="34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Too few participants</w:t>
            </w:r>
          </w:p>
        </w:tc>
        <w:tc>
          <w:tcPr>
            <w:tcW w:type="dxa" w:w="59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Decided at the meeting (above). The base rate and the random arm stand whatever the turnout.</w:t>
            </w:r>
          </w:p>
        </w:tc>
      </w:tr>
      <w:tr>
        <w:tc>
          <w:tcPr>
            <w:tcW w:type="dxa" w:w="340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The VM or the certificate</w:t>
            </w:r>
          </w:p>
        </w:tc>
        <w:tc>
          <w:tcPr>
            <w:tcW w:type="dxa" w:w="5960"/>
            <w:shd w:fill="F4F6F7" w:color="auto" w:val="clear"/>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SEGI owns the machine and the certificate; Pauline has a sudo account and the five commands that cover the ordinary failures.</w:t>
            </w:r>
          </w:p>
        </w:tc>
      </w:tr>
      <w:tr>
        <w:tc>
          <w:tcPr>
            <w:tcW w:type="dxa" w:w="340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Knowledge lost with me</w:t>
            </w:r>
          </w:p>
        </w:tc>
        <w:tc>
          <w:tcPr>
            <w:tcW w:type="dxa" w:w="5960"/>
            <w:tcMar>
              <w:top w:type="dxa" w:w="60"/>
              <w:left w:type="dxa" w:w="110"/>
              <w:bottom w:type="dxa" w:w="60"/>
              <w:right w:type="dxa" w:w="110"/>
            </w:tcMar>
          </w:tcPr>
          <w:p>
            <w:pPr>
              <w:spacing w:after="40" w:before="40" w:line="250"/>
            </w:pPr>
            <w:r>
              <w:rPr>
                <w:rFonts w:ascii="Calibri" w:cs="Calibri" w:eastAsia="Calibri" w:hAnsi="Calibri"/>
                <w:b w:val="false"/>
                <w:bCs w:val="false"/>
                <w:i w:val="false"/>
                <w:iCs w:val="false"/>
                <w:color w:val="000000"/>
                <w:sz w:val="20"/>
                <w:szCs w:val="20"/>
              </w:rPr>
              <w:t xml:space="preserve">Every scientific decision with its date and its measurement in </w:t>
            </w:r>
            <w:r>
              <w:rPr>
                <w:rFonts w:ascii="Consolas" w:cs="Consolas" w:eastAsia="Consolas" w:hAnsi="Consolas"/>
                <w:b w:val="false"/>
                <w:bCs w:val="false"/>
                <w:i w:val="false"/>
                <w:iCs w:val="false"/>
                <w:color w:val="000000"/>
                <w:sz w:val="18"/>
                <w:szCs w:val="18"/>
              </w:rPr>
              <w:t xml:space="preserve">hitl_bench/CLAUDE.md</w:t>
            </w:r>
            <w:r>
              <w:rPr>
                <w:rFonts w:ascii="Calibri" w:cs="Calibri" w:eastAsia="Calibri" w:hAnsi="Calibri"/>
                <w:b w:val="false"/>
                <w:bCs w:val="false"/>
                <w:i w:val="false"/>
                <w:iCs w:val="false"/>
                <w:color w:val="000000"/>
                <w:sz w:val="20"/>
                <w:szCs w:val="20"/>
              </w:rPr>
              <w:t xml:space="preserve">, a technical handover, and a short code-support card for Pauline.</w:t>
            </w:r>
          </w:p>
        </w:tc>
      </w:tr>
    </w:tbl>
    <w:p>
      <w:pPr>
        <w:spacing w:after="200"/>
      </w:pPr>
    </w:p>
    <w:p>
      <w:pPr>
        <w:spacing w:after="110" w:line="264"/>
      </w:pPr>
      <w:r>
        <w:rPr>
          <w:rFonts w:ascii="Calibri" w:cs="Calibri" w:eastAsia="Calibri" w:hAnsi="Calibri"/>
          <w:b w:val="false"/>
          <w:bCs w:val="false"/>
          <w:i/>
          <w:iCs/>
          <w:color w:val="595959"/>
          <w:sz w:val="22"/>
          <w:szCs w:val="22"/>
        </w:rPr>
        <w:t xml:space="preserve">Sources for every number above: </w:t>
      </w:r>
      <w:r>
        <w:rPr>
          <w:rFonts w:ascii="Consolas" w:cs="Consolas" w:eastAsia="Consolas" w:hAnsi="Consolas"/>
          <w:b w:val="false"/>
          <w:bCs w:val="false"/>
          <w:i w:val="false"/>
          <w:iCs w:val="false"/>
          <w:color w:val="595959"/>
          <w:sz w:val="19"/>
          <w:szCs w:val="19"/>
        </w:rPr>
        <w:t xml:space="preserve">hitl_bench/CLAUDE.md</w:t>
      </w:r>
      <w:r>
        <w:rPr>
          <w:rFonts w:ascii="Calibri" w:cs="Calibri" w:eastAsia="Calibri" w:hAnsi="Calibri"/>
          <w:b w:val="false"/>
          <w:bCs w:val="false"/>
          <w:i/>
          <w:iCs/>
          <w:color w:val="595959"/>
          <w:sz w:val="22"/>
          <w:szCs w:val="22"/>
        </w:rPr>
        <w:t xml:space="preserve"> (decisions and dates), the weekly report of 7–13 September, </w:t>
      </w:r>
      <w:r>
        <w:rPr>
          <w:rFonts w:ascii="Consolas" w:cs="Consolas" w:eastAsia="Consolas" w:hAnsi="Consolas"/>
          <w:b w:val="false"/>
          <w:bCs w:val="false"/>
          <w:i w:val="false"/>
          <w:iCs w:val="false"/>
          <w:color w:val="595959"/>
          <w:sz w:val="19"/>
          <w:szCs w:val="19"/>
        </w:rPr>
        <w:t xml:space="preserve">docs/nuit_du_10_septembre.md</w:t>
      </w:r>
      <w:r>
        <w:rPr>
          <w:rFonts w:ascii="Calibri" w:cs="Calibri" w:eastAsia="Calibri" w:hAnsi="Calibri"/>
          <w:b w:val="false"/>
          <w:bCs w:val="false"/>
          <w:i/>
          <w:iCs/>
          <w:color w:val="595959"/>
          <w:sz w:val="22"/>
          <w:szCs w:val="22"/>
        </w:rPr>
        <w:t xml:space="preserve"> (the computed arms), </w:t>
      </w:r>
      <w:r>
        <w:rPr>
          <w:rFonts w:ascii="Consolas" w:cs="Consolas" w:eastAsia="Consolas" w:hAnsi="Consolas"/>
          <w:b w:val="false"/>
          <w:bCs w:val="false"/>
          <w:i w:val="false"/>
          <w:iCs w:val="false"/>
          <w:color w:val="595959"/>
          <w:sz w:val="19"/>
          <w:szCs w:val="19"/>
        </w:rPr>
        <w:t xml:space="preserve">data/README.md</w:t>
      </w:r>
      <w:r>
        <w:rPr>
          <w:rFonts w:ascii="Calibri" w:cs="Calibri" w:eastAsia="Calibri" w:hAnsi="Calibri"/>
          <w:b w:val="false"/>
          <w:bCs w:val="false"/>
          <w:i/>
          <w:iCs/>
          <w:color w:val="595959"/>
          <w:sz w:val="22"/>
          <w:szCs w:val="22"/>
        </w:rPr>
        <w:t xml:space="preserve"> (provenance of the grids).</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HITL study - state of play and plan for the leave</dc:title>
  <dc:creator>Mathilde Croissant</dc:creator>
  <dc:description>What has been done, what runs during the leave, what waits for the return.</dc:description>
  <cp:lastModifiedBy>Un-named</cp:lastModifiedBy>
  <cp:revision>1</cp:revision>
  <dcterms:created xsi:type="dcterms:W3CDTF">2026-09-17T07:40:50.665Z</dcterms:created>
  <dcterms:modified xsi:type="dcterms:W3CDTF">2026-09-17T07:40:50.666Z</dcterms:modified>
</cp:coreProperties>
</file>

<file path=docProps/custom.xml><?xml version="1.0" encoding="utf-8"?>
<Properties xmlns="http://schemas.openxmlformats.org/officeDocument/2006/custom-properties" xmlns:vt="http://schemas.openxmlformats.org/officeDocument/2006/docPropsVTypes"/>
</file>