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2e75b6"/>
          <w:sz w:val="20"/>
          <w:szCs w:val="20"/>
          <w:rtl w:val="0"/>
        </w:rPr>
        <w:t xml:space="preserve">PROJET 4DLIGHTS  LUXTEMPORIS · EI04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3a5f" w:space="6" w:sz="12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Recommandations stratégiques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Scénarios d’accès marché et anticipation des acteurs émergents pour sécuriser le positionnement différenciant de LuxTemporis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Ce livrable répond à trois questions, dans l’ordre où elles conditionnent l’action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Sécuriser le positionnement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quel est le critère de différenciation à défendre, comment le protéger (PI) et comment lever les freins à l’adoption 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Accéder au marché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à partir de quelques hypothèses larges sur l’évolution du marché, quels scénarios contrastés peut-on construire, et quelle posture reste robuste quel que soit le futur 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Anticiper les acteurs émergents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quels signaux faibles annoncent la fermeture de la fenêtre, et avec quel dispositif de veille les suivre ?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Sécuriser le positionnement différenciant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1.1 Le critère de différenciation à défendre</w:t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 différenciation de LuxTemporis n’est </w:t>
      </w:r>
      <w:r w:rsidDel="00000000" w:rsidR="00000000" w:rsidRPr="00000000">
        <w:rPr>
          <w:b w:val="1"/>
          <w:bCs w:val="1"/>
          <w:rtl w:val="0"/>
        </w:rPr>
        <w:t xml:space="preserve">ni le mouvement seul</w:t>
      </w:r>
      <w:r w:rsidDel="00000000" w:rsidR="00000000" w:rsidRPr="00000000">
        <w:rPr>
          <w:rtl w:val="0"/>
        </w:rPr>
        <w:t xml:space="preserve"> (Studio DRIFT bouge aussi), </w:t>
      </w:r>
      <w:r w:rsidDel="00000000" w:rsidR="00000000" w:rsidRPr="00000000">
        <w:rPr>
          <w:b w:val="1"/>
          <w:bCs w:val="1"/>
          <w:rtl w:val="0"/>
        </w:rPr>
        <w:t xml:space="preserve">ni l’artisanat seul</w:t>
      </w:r>
      <w:r w:rsidDel="00000000" w:rsidR="00000000" w:rsidRPr="00000000">
        <w:rPr>
          <w:rtl w:val="0"/>
        </w:rPr>
        <w:t xml:space="preserve"> (Baccarat et Lasvit le maîtrisent). Elle tient à une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combinaison</w:t>
      </w:r>
      <w:r w:rsidDel="00000000" w:rsidR="00000000" w:rsidRPr="00000000">
        <w:rPr>
          <w:rtl w:val="0"/>
        </w:rPr>
        <w:t xml:space="preserve"> qu’aucun concurrent du benchmark n’occupe simultanément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Mouvement discret, biomimétique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(mécatronique et robotique au service de l’émotion, pas du spectacle) 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 artisanal haut de gamme, Made in France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(matériaux nobles, label French Touch × French Tech en cours) 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Sur-mesure résidentiel / hôtellerie premium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donc marge élevée et faibles volumes.</w:t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Le tableau de positionnement ci-dessous matérialise le quadrant vide que LuxTemporis est seule à occuper.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3513"/>
        <w:gridCol w:w="3513"/>
        <w:tblGridChange w:id="0">
          <w:tblGrid>
            <w:gridCol w:w="2000"/>
            <w:gridCol w:w="3513"/>
            <w:gridCol w:w="3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Résidentiel &amp; hôtellerie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Art &amp; événementiel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2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Statique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3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Baccarat, Lasvit, grandes maisons de luxe (Hermès, Louis Vuitton, Fendi Casa, Armani/Casa…)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4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Galeries, éditeurs d’objets décoratifs statiques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5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Cinétique /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af5e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LuxTemporis — seule présente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50" w:lineRule="auto"/>
              <w:rPr/>
            </w:pPr>
            <w:r w:rsidDel="00000000" w:rsidR="00000000" w:rsidRPr="00000000">
              <w:rPr>
                <w:color w:val="555555"/>
                <w:sz w:val="16"/>
                <w:szCs w:val="16"/>
                <w:rtl w:val="0"/>
              </w:rPr>
              <w:t xml:space="preserve">Fenêtre d’opportunité à occuper et verrouiller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Studio DRIFT, Kinetic Lights, Tait Towers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 La protection : miser sur le design, non sur le brevet</w:t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Le mouvement n’est pas brevetable et les technologies employées restent basiques : la stratégie de la note de vision est cohérente. </w:t>
      </w:r>
      <w:r w:rsidDel="00000000" w:rsidR="00000000" w:rsidRPr="00000000">
        <w:rPr>
          <w:b w:val="1"/>
          <w:bCs w:val="1"/>
          <w:rtl w:val="0"/>
        </w:rPr>
        <w:t xml:space="preserve">Aucun dépôt de brevet</w:t>
      </w:r>
      <w:r w:rsidDel="00000000" w:rsidR="00000000" w:rsidRPr="00000000">
        <w:rPr>
          <w:rtl w:val="0"/>
        </w:rPr>
        <w:t xml:space="preserve"> comme axe principal. L’actif à sécuriser est donc le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design (dessins et modèles)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Europe — EUIPO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protection valable 5 ans, renouvelable jusqu’à 25 ans (par tranches de 5 ans), valable dans toute l’UE.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 — CGPDTM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protection valable 20 ans à compter du dépôt.</w:t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Recommandations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Déposer les dessins et modèles des modèles phares (Aves, Sabelli, Nycti) AVANT toute exposition publique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(Salone del Mobile, Design Mumbai). Une présentation antérieure au dépôt divulgue le design et peut compromettre la nouveauté.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Conserver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veille brevets secondaire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pour détecter les dépôts des concurrents (Studio DRIFT, intégrateurs) et éviter tout blocage involontaire.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3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Acter que la protection design reste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structurellement fragile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(elle ne crée pas de monopole fonctionnel) : la vraie barrière sera non juridique.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1.3 Construire la barrière non juridique</w:t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Puisque le droit protège mal, la défense durable repose sur des actifs difficilement copiables 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 récit des fondatrices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l’alliance d’une photographe / experte communication et d’une ingénieure mécatronique incarne un pont crédible entre deux mondes a priori opposés. C’est une histoire de marque, pas une fonctionnalité.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signature esthétique biomimétique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une cohérence visuelle reconnaissable, qui transforme le mouvement en langage artistique plutôt qu’en démonstration technique.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Les références signées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chaque résidence ou hôtel de prestige équipé crée une preuve sociale que les maisons statiques ne peuvent égaler instantanément. Les premières références sont la barrière la plus efficace.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1.4 Lever les freins à l’adoption</w:t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Quatre freins ressortent de l’analyse. Pour chacun, une réponse stratégique :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3300"/>
        <w:gridCol w:w="3576"/>
        <w:tblGridChange w:id="0">
          <w:tblGrid>
            <w:gridCol w:w="2150"/>
            <w:gridCol w:w="3300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Frein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Réalité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Réponse stratégique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Obsolescence technologique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spacing w:line="250" w:lineRule="auto"/>
              <w:rPr/>
            </w:pPr>
            <w:sdt>
              <w:sdtPr>
                <w:id w:val="97088063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Pression de la loi de Moore sur les composants ; mais la demande en puissance de calcul reste limitée → risque réel faible.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E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Privilégier des composants éprouvés et pérennes ; faire de la réparabilité (pièces disponibles 5–10 ans) un argument, non une contrainte.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Perception « gadget 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 mouvement peut être lu comme un effet de mode plutôt que comme du luxe pérenne.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Ancrer l’objet dans l’artisanat d’art, les matériaux nobles et le biomimétisme : une œuvre vivante et durable, pas un objet technologique jetable.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Délai de fabrication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35–80 h par pièce, soit ~3 mois de délai. Tension forte pour l’hôtellerie (volumes, échéances prévisibles).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 résidentiel : assumer le délai comme valeur du sur-mesure (logique haute couture). En hôtellerie : prévoir montée en capacité / semi-industrialisation (cf. §2).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Capacité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Start-up pré-revenus, deux fondatrices, tout réalisé en interne.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Séquencer l’accès marché (faible volume d’abord) ; mobiliser le partenariat et l’embauche/restructuration comme leviers de passage à l’échelle.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2. Scénarios prospectifs d’accès marché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2.1 Démarche</w:t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L’avenir du segment est incertain. Plutôt que de parier sur une trajectoire unique, on pose d’abord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trois hypothèses larges</w:t>
      </w:r>
      <w:r w:rsidDel="00000000" w:rsidR="00000000" w:rsidRPr="00000000">
        <w:rPr>
          <w:rtl w:val="0"/>
        </w:rPr>
        <w:t xml:space="preserve"> sur l’évolution de l’environnement (les incertitudes structurantes), puis on en dérive des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scénarios contrastés</w:t>
      </w:r>
      <w:r w:rsidDel="00000000" w:rsidR="00000000" w:rsidRPr="00000000">
        <w:rPr>
          <w:rtl w:val="0"/>
        </w:rPr>
        <w:t xml:space="preserve">. Chaque scénario mobilise différemment </w:t>
      </w:r>
      <w:r w:rsidDel="00000000" w:rsidR="00000000" w:rsidRPr="00000000">
        <w:rPr>
          <w:b w:val="1"/>
          <w:bCs w:val="1"/>
          <w:rtl w:val="0"/>
        </w:rPr>
        <w:t xml:space="preserve">trois leviers d’accès marché</w:t>
      </w:r>
      <w:r w:rsidDel="00000000" w:rsidR="00000000" w:rsidRPr="00000000">
        <w:rPr>
          <w:rtl w:val="0"/>
        </w:rPr>
        <w:t xml:space="preserve">. On en tire enfin une posture </w:t>
      </w:r>
      <w:r w:rsidDel="00000000" w:rsidR="00000000" w:rsidRPr="00000000">
        <w:rPr>
          <w:i w:val="1"/>
          <w:iCs w:val="1"/>
          <w:rtl w:val="0"/>
        </w:rPr>
        <w:t xml:space="preserve">robuste</w:t>
      </w:r>
      <w:r w:rsidDel="00000000" w:rsidR="00000000" w:rsidRPr="00000000">
        <w:rPr>
          <w:rtl w:val="0"/>
        </w:rPr>
        <w:t xml:space="preserve"> — c’est-à-dire valable quel que soit le futur qui se réalise.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2.2 Trois hypothèses structurantes</w:t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0"/>
        <w:gridCol w:w="2300"/>
        <w:gridCol w:w="2300"/>
        <w:gridCol w:w="2276"/>
        <w:tblGridChange w:id="0">
          <w:tblGrid>
            <w:gridCol w:w="2150"/>
            <w:gridCol w:w="2300"/>
            <w:gridCol w:w="2300"/>
            <w:gridCol w:w="22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Hypothèse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État favorable à LuxTemporis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État défavorable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Ce qui tranchera (à surveiller)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H1 : Comportement des grandes maisons (la fenêtre)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Elles restent 100 % statiques, focalisées sur leur ADN classique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Une maison bascule vers le cinétique (seule ou via un studio)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Lancements « Maison en lumière », extension des collabs LV × DRIFT, brevets mécatronique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H2 : Dynamique du marché indien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B2B hôtelier mûr, canaux ouverts, classe supérieure acheteuse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Maturation lente, accès B2B difficile à court-moyen terme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Taux d’occupation hôtellerie de luxe, ouvertures d’enseignes, fréquentation Design Mumbai, signaux Business France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H3 : Nature du segment cinétique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Tendance structurelle et pérenne (catégorie qui s’installe)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Mode passagère, retombée après l’effet de nouveauté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Récurrence des commandes (vs one-shot), entrée d’acteurs sérieux, durée de la couverture presse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H3 est la condition de validité : si le segment se révèle une mode passagère, le pari cinétique lui-même est remis en cause (cf. scénario de rupture).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2.3 Trois leviers d’accès marché</w:t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Ce sont les outils que les scénarios actionnent — seuls ou combinés.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2900"/>
        <w:gridCol w:w="2200"/>
        <w:gridCol w:w="2226"/>
        <w:tblGridChange w:id="0">
          <w:tblGrid>
            <w:gridCol w:w="1700"/>
            <w:gridCol w:w="2900"/>
            <w:gridCol w:w="2200"/>
            <w:gridCol w:w="2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Cible &amp; discours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Atout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Condition / 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A. Ancrage européen (pièce d’exception)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Résidentiel &amp; hôtellerie de charme UE, artisanat &amp; French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Compatible avec la capacité ; construit la marque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Marché mature en stagnation, croissance 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B. Conquête indienne (hôtellerie de prestige)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Groupes Taj/Oberoi/Leela, Galeries Lafayette, événementiel, prestige européen &amp; nouveauté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Croissance forte, statut de premier entrant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Certification BIS, capacité, réseau à créer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C. Partenariat (effet de levier)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Baccarat (repositionnement) ou maison-éditeur (type LV × DRIFT)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Notoriété + réseau + capacité d’un coup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Dilution de marque, dépendance, risque 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2.4 Quatre scénarios</w:t>
      </w:r>
    </w:p>
    <w:p w:rsidR="00000000" w:rsidDel="00000000" w:rsidP="00000000" w:rsidRDefault="00000000" w:rsidRPr="00000000" w14:paraId="00000060">
      <w:pPr>
        <w:spacing w:after="30" w:before="80" w:lineRule="auto"/>
        <w:rPr/>
      </w:pPr>
      <w:r w:rsidDel="00000000" w:rsidR="00000000" w:rsidRPr="00000000">
        <w:rPr>
          <w:b w:val="1"/>
          <w:bCs w:val="1"/>
          <w:color w:val="2e7d32"/>
          <w:rtl w:val="0"/>
        </w:rPr>
        <w:t xml:space="preserve">Scénario 1 « L’envol »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 catégorie cinétique s’installe, l’Inde confirme son rôle de moteur de croissance et les grandes maisons tardent à réagir.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Posture : expansion offensive bi-géographique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déployer tôt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levier B (Inde)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 parallèle du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levier A (Europe)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pour la crédibilité 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préparer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montée en capacité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(embauche / semi-industrialisation).</w:t>
      </w:r>
    </w:p>
    <w:p w:rsidR="00000000" w:rsidDel="00000000" w:rsidP="00000000" w:rsidRDefault="00000000" w:rsidRPr="00000000" w14:paraId="00000066">
      <w:pPr>
        <w:spacing w:after="30" w:before="100" w:lineRule="auto"/>
        <w:rPr>
          <w:b w:val="1"/>
          <w:bCs w:val="1"/>
          <w:color w:val="1f3a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30" w:before="100" w:lineRule="auto"/>
        <w:rPr>
          <w:b w:val="1"/>
          <w:bCs w:val="1"/>
          <w:color w:val="1f3a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30" w:before="100" w:lineRule="auto"/>
        <w:rPr>
          <w:b w:val="1"/>
          <w:bCs w:val="1"/>
          <w:color w:val="1f3a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30" w:before="100" w:lineRule="auto"/>
        <w:rPr>
          <w:b w:val="1"/>
          <w:bCs w:val="1"/>
          <w:color w:val="1f3a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30" w:before="10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Scénario 2  « La niche patiente »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Le cinétique de luxe est réel mais reste confidentiel et haut de gamme ; l’Inde tarde à s’ouvrir ; les maisons ne bougent pas.</w:t>
      </w:r>
    </w:p>
    <w:p w:rsidR="00000000" w:rsidDel="00000000" w:rsidP="00000000" w:rsidRDefault="00000000" w:rsidRPr="00000000" w14:paraId="0000006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Posture : niche premium maîtrisée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Levier A au cœur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: pièces uniques, marge élevée, capacité maîtrisée par les deux fondatrices 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levier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traitée comme pari de moyen terme via Business France 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partenariat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levier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facultatif, à n’activer que par opportunité.</w:t>
      </w:r>
    </w:p>
    <w:p w:rsidR="00000000" w:rsidDel="00000000" w:rsidP="00000000" w:rsidRDefault="00000000" w:rsidRPr="00000000" w14:paraId="00000071">
      <w:pPr>
        <w:spacing w:after="30" w:before="100" w:lineRule="auto"/>
        <w:rPr/>
      </w:pPr>
      <w:r w:rsidDel="00000000" w:rsidR="00000000" w:rsidRPr="00000000">
        <w:rPr>
          <w:b w:val="1"/>
          <w:bCs w:val="1"/>
          <w:color w:val="b00020"/>
          <w:rtl w:val="0"/>
        </w:rPr>
        <w:t xml:space="preserve">Scénario 3  « La course contre les maisons »</w:t>
      </w: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Une grande maison entre dans le cinétique, passage à l’échelle d’une collaboration type LV × DRIFT, ou Baccarat repositionnée. La catégorie est validée mais la concurrence devient frontale et la fenêtre se referme par le haut.</w:t>
      </w:r>
    </w:p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Posture : partenariat et vitesse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activer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levier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: devenir le studio cinétique d’une maison-éditeur, ou s’allier à Baccarat pour gagner réseau + capacité 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s’appuyer sur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dépôt design réalisé en amont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pour négocier en position protégée 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défendre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créneau artisanal-résidentiel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 les maisons occupent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2.5 Synthèse et posture robuste</w:t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0"/>
        <w:gridCol w:w="1300"/>
        <w:gridCol w:w="1300"/>
        <w:gridCol w:w="1450"/>
        <w:gridCol w:w="2926"/>
        <w:tblGridChange w:id="0">
          <w:tblGrid>
            <w:gridCol w:w="2050"/>
            <w:gridCol w:w="1300"/>
            <w:gridCol w:w="1300"/>
            <w:gridCol w:w="1450"/>
            <w:gridCol w:w="29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Scénario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Fenêtre (H1)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Inde (H2)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Segment (H3)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Levier dominant &amp;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af5e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2e7d32"/>
                <w:sz w:val="19"/>
                <w:szCs w:val="19"/>
                <w:rtl w:val="0"/>
              </w:rPr>
              <w:t xml:space="preserve">1. L’envol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Accélère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Pérenne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 + A : expansion offensive, course aux références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9"/>
                <w:szCs w:val="19"/>
                <w:rtl w:val="0"/>
              </w:rPr>
              <w:t xml:space="preserve">2. La niche patiente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Ouverte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Pérenne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 : niche premium maîtrisée, Inde différée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fbeaea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b00020"/>
                <w:sz w:val="19"/>
                <w:szCs w:val="19"/>
                <w:rtl w:val="0"/>
              </w:rPr>
              <w:t xml:space="preserve">3. La course contre les maisons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 referme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Dynamique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A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8B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 : partenariat, vitesse, défense par le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Socle robuste — à engager dès maintenant, quel que soit le scénario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Dépôt des dessins et modèles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(EUIPO + CGPDTM) sur les modèles phares, avant toute exposition 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Ancrage européen (levier 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: 3 à 5 références signées, pour construire marque et trésorerie 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Maîtrise de la capacité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avant tout engagement de volume.</w:t>
      </w:r>
    </w:p>
    <w:p w:rsidR="00000000" w:rsidDel="00000000" w:rsidP="00000000" w:rsidRDefault="00000000" w:rsidRPr="00000000" w14:paraId="00000090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2e75b6"/>
          <w:rtl w:val="0"/>
        </w:rPr>
        <w:t xml:space="preserve">Bifurcation. </w:t>
      </w:r>
      <w:r w:rsidDel="00000000" w:rsidR="00000000" w:rsidRPr="00000000">
        <w:rPr>
          <w:rtl w:val="0"/>
        </w:rPr>
        <w:t xml:space="preserve">Ce socle ne dépend d’aucune hypothèse, il est « sans regret ». La veille (§3) indique ensuite vers quel levier basculer : </w:t>
      </w:r>
      <w:r w:rsidDel="00000000" w:rsidR="00000000" w:rsidRPr="00000000">
        <w:rPr>
          <w:b w:val="1"/>
          <w:bCs w:val="1"/>
          <w:rtl w:val="0"/>
        </w:rPr>
        <w:t xml:space="preserve">vers l’Inde (B)</w:t>
      </w:r>
      <w:r w:rsidDel="00000000" w:rsidR="00000000" w:rsidRPr="00000000">
        <w:rPr>
          <w:rtl w:val="0"/>
        </w:rPr>
        <w:t xml:space="preserve"> si l’Envol se confirme, </w:t>
      </w:r>
      <w:r w:rsidDel="00000000" w:rsidR="00000000" w:rsidRPr="00000000">
        <w:rPr>
          <w:b w:val="1"/>
          <w:bCs w:val="1"/>
          <w:rtl w:val="0"/>
        </w:rPr>
        <w:t xml:space="preserve">maintien sur la niche (A)</w:t>
      </w:r>
      <w:r w:rsidDel="00000000" w:rsidR="00000000" w:rsidRPr="00000000">
        <w:rPr>
          <w:rtl w:val="0"/>
        </w:rPr>
        <w:t xml:space="preserve"> si l’Inde tarde, </w:t>
      </w:r>
      <w:r w:rsidDel="00000000" w:rsidR="00000000" w:rsidRPr="00000000">
        <w:rPr>
          <w:b w:val="1"/>
          <w:bCs w:val="1"/>
          <w:rtl w:val="0"/>
        </w:rPr>
        <w:t xml:space="preserve">activation du partenariat (C)</w:t>
      </w:r>
      <w:r w:rsidDel="00000000" w:rsidR="00000000" w:rsidRPr="00000000">
        <w:rPr>
          <w:rtl w:val="0"/>
        </w:rPr>
        <w:t xml:space="preserve"> si une maison entre dans le cinétique.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3. Anticiper les acteurs émergents</w:t>
      </w:r>
    </w:p>
    <w:p w:rsidR="00000000" w:rsidDel="00000000" w:rsidP="00000000" w:rsidRDefault="00000000" w:rsidRPr="00000000" w14:paraId="0000009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 fenêtre d’opportunité se refermera selon deux trajectoires : par le haut (une grande maison lance une ligne cinétique) ou par le bas (un acteur événementiel pivote vers le résidentiel). Le dispositif de veille doit surveiller les deux.</w:t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La veille remplit ici une fonction précise : elle révèle laquelle des hypothèses du §2 se réalise, et donc vers quel scénario et quel levier basculer.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3.1 Signaux faibles prioritaires</w:t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0"/>
        <w:gridCol w:w="2950"/>
        <w:gridCol w:w="2826"/>
        <w:gridCol w:w="1200"/>
        <w:tblGridChange w:id="0">
          <w:tblGrid>
            <w:gridCol w:w="2050"/>
            <w:gridCol w:w="2950"/>
            <w:gridCol w:w="2826"/>
            <w:gridCol w:w="1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Acteur / 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Signal à surveiller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Implication pour LuxTemporis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1f3a5f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Urgence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Studio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Croissance ~+22 %/an, expansion APAC, ouverture musée Amsterdam (2025), partenariats Intel/Microsoft/BMW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line="250" w:lineRule="auto"/>
              <w:rPr/>
            </w:pPr>
            <w:sdt>
              <w:sdtPr>
                <w:id w:val="159898137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Descente vers le résidentiel/hôtellerie et entrée en Inde → concurrent direct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C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b00020"/>
                <w:sz w:val="19"/>
                <w:szCs w:val="19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D">
            <w:pPr>
              <w:spacing w:line="250" w:lineRule="auto"/>
              <w:rPr/>
            </w:pPr>
            <w:sdt>
              <w:sdtPr>
                <w:id w:val="14596822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9"/>
                    <w:szCs w:val="19"/>
                    <w:rtl w:val="0"/>
                  </w:rPr>
                  <w:t xml:space="preserve">Grandes maisons → cinétique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E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Collaborations LV × Studio DRIFT,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line="250" w:lineRule="auto"/>
              <w:rPr/>
            </w:pPr>
            <w:sdt>
              <w:sdtPr>
                <w:id w:val="196499572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Lancement d’une ligne « Maison en lumière » avec mouvement → fermeture de la fenêtre (déclenche le Scénario 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b00020"/>
                <w:sz w:val="19"/>
                <w:szCs w:val="19"/>
                <w:rtl w:val="0"/>
              </w:rPr>
              <w:t xml:space="preserve">Haute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Kinetic Lights / Tait Towers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Acteurs cinétiques de l’événementiel ; capacité industrielle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line="250" w:lineRule="auto"/>
              <w:rPr/>
            </w:pPr>
            <w:sdt>
              <w:sdtPr>
                <w:id w:val="36469739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Pivot possible vers la vente résidentielle → concurrence « par le bas 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Apple — lampe Pixar en mouvement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Objet grand public mettant le mouvement lumineux en désir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7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Valide la catégorie (favorable à H3) mais risque de banaliser le mouvement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b8860b"/>
                <w:sz w:val="19"/>
                <w:szCs w:val="19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shd w:fill="eef3f8" w:val="clear"/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Luminaires IA / robotiques sans mouvement apparent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line="25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Propositions encore peu matures (question de périmètre ouverte)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line="250" w:lineRule="auto"/>
              <w:rPr/>
            </w:pPr>
            <w:sdt>
              <w:sdtPr>
                <w:id w:val="42684129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Proposition de valeur différente (l’invisible vs le mouvement visible) → adjacents, à surveiller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3de" w:space="0" w:sz="4" w:val="single"/>
              <w:left w:color="c9d3de" w:space="0" w:sz="4" w:val="single"/>
              <w:bottom w:color="c9d3de" w:space="0" w:sz="4" w:val="single"/>
              <w:right w:color="c9d3de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line="250" w:lineRule="auto"/>
              <w:rPr/>
            </w:pPr>
            <w:r w:rsidDel="00000000" w:rsidR="00000000" w:rsidRPr="00000000">
              <w:rPr>
                <w:b w:val="1"/>
                <w:bCs w:val="1"/>
                <w:color w:val="555555"/>
                <w:sz w:val="19"/>
                <w:szCs w:val="19"/>
                <w:rtl w:val="0"/>
              </w:rPr>
              <w:t xml:space="preserve">À surveiller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de périmètre. </w:t>
      </w:r>
      <w:r w:rsidDel="00000000" w:rsidR="00000000" w:rsidRPr="00000000">
        <w:rPr>
          <w:rtl w:val="0"/>
        </w:rPr>
        <w:t xml:space="preserve">Les luminaires assistés par IA/robotique </w:t>
      </w:r>
      <w:r w:rsidDel="00000000" w:rsidR="00000000" w:rsidRPr="00000000">
        <w:rPr>
          <w:i w:val="1"/>
          <w:iCs w:val="1"/>
          <w:rtl w:val="0"/>
        </w:rPr>
        <w:t xml:space="preserve">sans mouvement apparent</w:t>
      </w:r>
      <w:r w:rsidDel="00000000" w:rsidR="00000000" w:rsidRPr="00000000">
        <w:rPr>
          <w:rtl w:val="0"/>
        </w:rPr>
        <w:t xml:space="preserve"> devraient être traités comme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éléments contextuels et non comme cœur de cible</w:t>
      </w:r>
      <w:r w:rsidDel="00000000" w:rsidR="00000000" w:rsidRPr="00000000">
        <w:rPr>
          <w:rtl w:val="0"/>
        </w:rPr>
        <w:t xml:space="preserve"> : leur valeur (l’intelligence invisible) diffère structurellement de celle de LuxTemporis (le mouvement biomimétique visible et l’émotion). Ils restent toutefois un signal à suivre, la convergence n’étant pas exclue.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3.2 Dispositif de veille recommandé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Réutiliser la grille de critères déjà construite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(type de mouvement, technologie embarquée, segment client, prix) comme matrice de veille permanente, complétée d’une ligne « état des hypothèses H1/H2/H3 ».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Revue trimestrielle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: nouveaux entrants, dépôts de dessins/modèles et brevets des concurrents, mouvements des grandes maisons, entrants sur le marché indien.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460" w:right="0" w:hanging="2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Sources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: prolonger celles déjà mobilisées (Xerfi, Art Basel &amp; UBS, IMARC, growjo, salons Salone / Design Mumbai) et ajouter une veille design/brevets (EUIPO, CGPDTM) ciblée sur les acteurs cinétiques.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3.3 Lecture stratégique</w:t>
      </w:r>
    </w:p>
    <w:p w:rsidR="00000000" w:rsidDel="00000000" w:rsidP="00000000" w:rsidRDefault="00000000" w:rsidRPr="00000000" w14:paraId="000000B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Quelle que soit la trajectoire, la réponse de LuxTemporis est la même : </w:t>
      </w:r>
      <w:r w:rsidDel="00000000" w:rsidR="00000000" w:rsidRPr="00000000">
        <w:rPr>
          <w:b w:val="1"/>
          <w:bCs w:val="1"/>
          <w:rtl w:val="0"/>
        </w:rPr>
        <w:t xml:space="preserve">verrouiller vite le design et les références</w:t>
      </w:r>
      <w:r w:rsidDel="00000000" w:rsidR="00000000" w:rsidRPr="00000000">
        <w:rPr>
          <w:rtl w:val="0"/>
        </w:rPr>
        <w:t xml:space="preserve">, et occuper le créneau « résidentiel–artisanal–biomimétique » que les autres ne peuvent structurellement pas tenir — Studio DRIFT par son prix et son ADN d’art, les grandes maisons par leur ADN statique, les acteurs événementiels par l’absence d’artisanat. La différenciation n’est pas seulement une position : c’est une </w:t>
      </w:r>
      <w:r w:rsidDel="00000000" w:rsidR="00000000" w:rsidRPr="00000000">
        <w:rPr>
          <w:b w:val="1"/>
          <w:bCs w:val="1"/>
          <w:color w:val="b8860b"/>
          <w:rtl w:val="0"/>
        </w:rPr>
        <w:t xml:space="preserve">course de vitesse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pStyle w:val="Heading1"/>
        <w:rPr/>
      </w:pPr>
      <w:r w:rsidDel="00000000" w:rsidR="00000000" w:rsidRPr="00000000">
        <w:rPr>
          <w:rtl w:val="0"/>
        </w:rPr>
        <w:t xml:space="preserve">4. Réserve méthodologique sur les données</w:t>
      </w:r>
    </w:p>
    <w:p w:rsidR="00000000" w:rsidDel="00000000" w:rsidP="00000000" w:rsidRDefault="00000000" w:rsidRPr="00000000" w14:paraId="000000B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Plusieurs chiffres mobilisés dans le benchmark sont </w:t>
      </w:r>
      <w:r w:rsidDel="00000000" w:rsidR="00000000" w:rsidRPr="00000000">
        <w:rPr>
          <w:b w:val="1"/>
          <w:bCs w:val="1"/>
          <w:rtl w:val="0"/>
        </w:rPr>
        <w:t xml:space="preserve">estimés ou à vérifier</w:t>
      </w:r>
      <w:r w:rsidDel="00000000" w:rsidR="00000000" w:rsidRPr="00000000">
        <w:rPr>
          <w:rtl w:val="0"/>
        </w:rPr>
        <w:t xml:space="preserve"> avant remise finale : chiffres d’affaires et effectifs de certains concurrents, multiples de croissance du marché indien (ex. « ×3,5 d’ici 2030 »), fourchettes de prix. Il est recommandé d’effectuer une </w:t>
      </w:r>
      <w:r w:rsidDel="00000000" w:rsidR="00000000" w:rsidRPr="00000000">
        <w:rPr>
          <w:b w:val="1"/>
          <w:bCs w:val="1"/>
          <w:color w:val="2e75b6"/>
          <w:rtl w:val="0"/>
        </w:rPr>
        <w:t xml:space="preserve">passe de vérification</w:t>
      </w:r>
      <w:r w:rsidDel="00000000" w:rsidR="00000000" w:rsidRPr="00000000">
        <w:rPr>
          <w:rtl w:val="0"/>
        </w:rPr>
        <w:t xml:space="preserve"> distinguant clairement les données </w:t>
      </w:r>
      <w:r w:rsidDel="00000000" w:rsidR="00000000" w:rsidRPr="00000000">
        <w:rPr>
          <w:b w:val="1"/>
          <w:bCs w:val="1"/>
          <w:rtl w:val="0"/>
        </w:rPr>
        <w:t xml:space="preserve">sourcées</w:t>
      </w:r>
      <w:r w:rsidDel="00000000" w:rsidR="00000000" w:rsidRPr="00000000">
        <w:rPr>
          <w:rtl w:val="0"/>
        </w:rPr>
        <w:t xml:space="preserve"> (Xerfi, Art Basel &amp; UBS, IMARC, growjo, verif.com) des données </w:t>
      </w:r>
      <w:r w:rsidDel="00000000" w:rsidR="00000000" w:rsidRPr="00000000">
        <w:rPr>
          <w:b w:val="1"/>
          <w:bCs w:val="1"/>
          <w:rtl w:val="0"/>
        </w:rPr>
        <w:t xml:space="preserve">estimées</w:t>
      </w:r>
      <w:r w:rsidDel="00000000" w:rsidR="00000000" w:rsidRPr="00000000">
        <w:rPr>
          <w:rtl w:val="0"/>
        </w:rPr>
        <w:t xml:space="preserve">. Cette transparence protège la crédibilité des recommandations dans le rapport d’audit.</w:t>
      </w:r>
    </w:p>
    <w:p w:rsidR="00000000" w:rsidDel="00000000" w:rsidP="00000000" w:rsidRDefault="00000000" w:rsidRPr="00000000" w14:paraId="000000B6">
      <w:pPr>
        <w:pBdr>
          <w:top w:color="1f3a5f" w:space="6" w:sz="6" w:val="single"/>
        </w:pBdr>
        <w:spacing w:before="24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28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left"/>
      <w:rPr>
        <w:color w:val="555555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jc w:val="left"/>
      <w:rPr>
        <w:color w:val="555555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20"/>
      </w:pPr>
      <w:rPr>
        <w:b w:val="1"/>
        <w:bCs w:val="1"/>
        <w:color w:val="1f3a5f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460" w:hanging="260"/>
      </w:pPr>
      <w:rPr>
        <w:color w:val="2e75b6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60" w:hanging="3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9d3de" w:space="4" w:sz="6" w:val="single"/>
        <w:right w:space="0" w:sz="0" w:val="nil"/>
        <w:between w:space="0" w:sz="0" w:val="nil"/>
      </w:pBdr>
      <w:shd w:fill="auto" w:val="clear"/>
      <w:spacing w:after="14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27"/>
      <w:szCs w:val="27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2a2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kbL5Zd6QQiaiJeBnr/af/LzaVw==">CgMxLjAaHQoBMBIYChYIB0ISEhBBcmlhbCBVbmljb2RlIE1TGh0KATESGAoWCAdCEhIQQXJpYWwgVW5pY29kZSBNUxodCgEyEhgKFggHQhISEEFyaWFsIFVuaWNvZGUgTVMaHQoBMxIYChYIB0ISEhBBcmlhbCBVbmljb2RlIE1TGh0KATQSGAoWCAdCEhIQQXJpYWwgVW5pY29kZSBNUxodCgE1EhgKFggHQhISEEFyaWFsIFVuaWNvZGUgTVM4AHIhMXdvQUtwcWdPZGd3R0NUcVVXMEx0UUhMdk5rRzJ3YW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