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Technique</w:t>
      </w:r>
    </w:p>
    <w:p>
      <w:pPr>
        <w:jc w:val="center"/>
      </w:pPr>
      <w:r>
        <w:t>Site de campagne – Élections Municipales Saint-Pierre 2026</w:t>
        <w:br/>
        <w:t>Liste « Faire gagner Saint-Pierre » – Christian RAPHA</w:t>
      </w:r>
    </w:p>
    <w:p/>
    <w:p>
      <w:pPr>
        <w:pStyle w:val="Heading1"/>
      </w:pPr>
      <w:r>
        <w:t>1. Présentation du projet</w:t>
      </w:r>
    </w:p>
    <w:p>
      <w:r>
        <w:t>Ce site est une application web monopage (SPA) dédiée à la campagne électorale de Christian RAPHA pour les élections municipales et communautaires de Saint-Pierre, prévues le 15 mars 2026. Il présente la vision de la liste, ainsi que les 29 colistiers engagés sous le slogan « Pour une Ville qui se relève et qui avance ! ».</w:t>
      </w:r>
    </w:p>
    <w:p>
      <w:pPr>
        <w:pStyle w:val="Heading1"/>
      </w:pPr>
      <w:r>
        <w:t>2. Stack technique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Technologie</w:t>
            </w:r>
          </w:p>
        </w:tc>
        <w:tc>
          <w:tcPr>
            <w:tcW w:type="dxa" w:w="4320"/>
          </w:tcPr>
          <w:p>
            <w:r>
              <w:t>Version / Détail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18.3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5.4 (bundler &amp; dev server)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shadcn/ui</w:t>
            </w:r>
          </w:p>
        </w:tc>
        <w:tc>
          <w:tcPr>
            <w:tcW w:type="dxa" w:w="4320"/>
          </w:tcPr>
          <w:p>
            <w:r>
              <w:t>Composants UI (Radix UI)</w:t>
            </w:r>
          </w:p>
        </w:tc>
      </w:tr>
      <w:tr>
        <w:tc>
          <w:tcPr>
            <w:tcW w:type="dxa" w:w="4320"/>
          </w:tcPr>
          <w:p>
            <w:r>
              <w:t>React Router</w:t>
            </w:r>
          </w:p>
        </w:tc>
        <w:tc>
          <w:tcPr>
            <w:tcW w:type="dxa" w:w="4320"/>
          </w:tcPr>
          <w:p>
            <w:r>
              <w:t>6.30 (routing SPA)</w:t>
            </w:r>
          </w:p>
        </w:tc>
      </w:tr>
      <w:tr>
        <w:tc>
          <w:tcPr>
            <w:tcW w:type="dxa" w:w="4320"/>
          </w:tcPr>
          <w:p>
            <w:r>
              <w:t>TanStack React Query</w:t>
            </w:r>
          </w:p>
        </w:tc>
        <w:tc>
          <w:tcPr>
            <w:tcW w:type="dxa" w:w="4320"/>
          </w:tcPr>
          <w:p>
            <w:r>
              <w:t>5.83</w:t>
            </w:r>
          </w:p>
        </w:tc>
      </w:tr>
      <w:tr>
        <w:tc>
          <w:tcPr>
            <w:tcW w:type="dxa" w:w="4320"/>
          </w:tcPr>
          <w:p>
            <w:r>
              <w:t>Lucide React</w:t>
            </w:r>
          </w:p>
        </w:tc>
        <w:tc>
          <w:tcPr>
            <w:tcW w:type="dxa" w:w="4320"/>
          </w:tcPr>
          <w:p>
            <w:r>
              <w:t>Icônes SVG</w:t>
            </w:r>
          </w:p>
        </w:tc>
      </w:tr>
      <w:tr>
        <w:tc>
          <w:tcPr>
            <w:tcW w:type="dxa" w:w="4320"/>
          </w:tcPr>
          <w:p>
            <w:r>
              <w:t>Framer Motion / CSS</w:t>
            </w:r>
          </w:p>
        </w:tc>
        <w:tc>
          <w:tcPr>
            <w:tcW w:type="dxa" w:w="4320"/>
          </w:tcPr>
          <w:p>
            <w:r>
              <w:t>Animations</w:t>
            </w:r>
          </w:p>
        </w:tc>
      </w:tr>
      <w:tr>
        <w:tc>
          <w:tcPr>
            <w:tcW w:type="dxa" w:w="4320"/>
          </w:tcPr>
          <w:p>
            <w:r>
              <w:t>Vitest + Testing Library</w:t>
            </w:r>
          </w:p>
        </w:tc>
        <w:tc>
          <w:tcPr>
            <w:tcW w:type="dxa" w:w="4320"/>
          </w:tcPr>
          <w:p>
            <w:r>
              <w:t>Tests unitaires</w:t>
            </w:r>
          </w:p>
        </w:tc>
      </w:tr>
    </w:tbl>
    <w:p>
      <w:pPr>
        <w:pStyle w:val="Heading1"/>
      </w:pPr>
      <w:r>
        <w:t>3. Architecture des fichiers</w:t>
      </w:r>
    </w:p>
    <w:p>
      <w:pPr/>
      <w:r>
        <w:t>├── index.html                 # Point d'entrée HTML</w:t>
        <w:br/>
        <w:t>├── vite.config.ts             # Configuration Vite</w:t>
        <w:br/>
        <w:t>├── tailwind.config.ts         # Thème Tailwind personnalisé</w:t>
        <w:br/>
        <w:t>├── tsconfig.json              # Configuration TypeScript</w:t>
        <w:br/>
        <w:t>├── src/</w:t>
        <w:br/>
        <w:t>│   ├── main.tsx               # Bootstrap React</w:t>
        <w:br/>
        <w:t>│   ├── App.tsx                # Routeur principal</w:t>
        <w:br/>
        <w:t>│   ├── index.css              # Tokens de design (couleurs, typo)</w:t>
        <w:br/>
        <w:t>│   ├── pages/</w:t>
        <w:br/>
        <w:t>│   │   ├── Index.tsx          # Page d'accueil principale</w:t>
        <w:br/>
        <w:t>│   │   └── NotFound.tsx       # Page 404</w:t>
        <w:br/>
        <w:t>│   ├── components/</w:t>
        <w:br/>
        <w:t>│   │   ├── Header.tsx         # Barre de navigation fixe</w:t>
        <w:br/>
        <w:t>│   │   ├── FlipCard.tsx       # Carte candidat avec séparation nom/prénom</w:t>
        <w:br/>
        <w:t>│   │   ├── NavLink.tsx        # Lien de navigation</w:t>
        <w:br/>
        <w:t>│   │   └── ui/               # Composants shadcn/ui (50+)</w:t>
        <w:br/>
        <w:t>│   ├── data/</w:t>
        <w:br/>
        <w:t>│   │   └── candidates.ts     # Données des 29 colistiers</w:t>
        <w:br/>
        <w:t>│   ├── assets/               # Photos des candidats (30 JPG)</w:t>
        <w:br/>
        <w:t>│   └── hooks/                # Hooks personnalisés</w:t>
        <w:br/>
        <w:t>└── public/</w:t>
        <w:br/>
        <w:t xml:space="preserve">    └── music/background.mp3  # Musique de fond</w:t>
      </w:r>
    </w:p>
    <w:p>
      <w:pPr>
        <w:pStyle w:val="Heading1"/>
      </w:pPr>
      <w:r>
        <w:t>4. Composants principaux</w:t>
      </w:r>
    </w:p>
    <w:p>
      <w:pPr>
        <w:pStyle w:val="Heading2"/>
      </w:pPr>
      <w:r>
        <w:t>4.1 Header.tsx</w:t>
      </w:r>
    </w:p>
    <w:p>
      <w:r>
        <w:t>Navigation fixe en haut de page avec fond semi-transparent et blur. Menu hamburger sur mobile. Liens de navigation par scroll smooth vers les sections (hero, programme, équipe).</w:t>
      </w:r>
    </w:p>
    <w:p>
      <w:pPr>
        <w:pStyle w:val="Heading2"/>
      </w:pPr>
      <w:r>
        <w:t>4.2 FlipCard.tsx</w:t>
      </w:r>
    </w:p>
    <w:p>
      <w:r>
        <w:t>Carte affichant la photo, le prénom et le nom de famille de chaque candidat. Logique de séparation intelligente : les mots entièrement en majuscules sont identifiés comme noms de famille et affichés sur une ligne distincte. Format responsive avec aspect ratio 2:3.</w:t>
      </w:r>
    </w:p>
    <w:p>
      <w:pPr>
        <w:pStyle w:val="Heading2"/>
      </w:pPr>
      <w:r>
        <w:t>4.3 Index.tsx (Page principale)</w:t>
      </w:r>
    </w:p>
    <w:p>
      <w:r>
        <w:t>La page est composée de 4 sections :</w:t>
      </w:r>
    </w:p>
    <w:p>
      <w:pPr>
        <w:pStyle w:val="ListBullet"/>
      </w:pPr>
      <w:r>
        <w:t>Section Hero : Image de couverture plein écran avec boutons scroll et audio</w:t>
      </w:r>
    </w:p>
    <w:p>
      <w:pPr>
        <w:pStyle w:val="ListBullet"/>
      </w:pPr>
      <w:r>
        <w:t>Section Vision : Texte de présentation du programme</w:t>
      </w:r>
    </w:p>
    <w:p>
      <w:pPr>
        <w:pStyle w:val="ListBullet"/>
      </w:pPr>
      <w:r>
        <w:t>Section Équipe : Grille responsive des 29 colistiers (FlipCard)</w:t>
      </w:r>
    </w:p>
    <w:p>
      <w:pPr>
        <w:pStyle w:val="ListBullet"/>
      </w:pPr>
      <w:r>
        <w:t>Footer : Informations de la liste</w:t>
      </w:r>
    </w:p>
    <w:p>
      <w:pPr>
        <w:pStyle w:val="Heading1"/>
      </w:pPr>
      <w:r>
        <w:t>5. Gestion des données</w:t>
      </w:r>
    </w:p>
    <w:p>
      <w:r>
        <w:t>Les données des candidats sont stockées dans src/data/candidates.ts sous forme d'un tableau statique. Chaque candidat possède un id, un nom, un rôle (« Tête de liste » ou « Colistier ») et une URL d'image importée. Les 29 noms sont définis dans un tableau et mappés avec leurs photos respectives.</w:t>
      </w:r>
    </w:p>
    <w:p>
      <w:pPr>
        <w:pStyle w:val="Heading1"/>
      </w:pPr>
      <w:r>
        <w:t>6. Design System</w:t>
      </w:r>
    </w:p>
    <w:p>
      <w:r>
        <w:t>Le thème est défini via des tokens CSS HSL dans index.css et repris dans tailwind.config.ts 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210 65% 45% (bleu institutionnel)</w:t>
            </w:r>
          </w:p>
        </w:tc>
      </w:tr>
      <w:tr>
        <w:tc>
          <w:tcPr>
            <w:tcW w:type="dxa" w:w="4320"/>
          </w:tcPr>
          <w:p>
            <w:r>
              <w:t>Secondary / Accent</w:t>
            </w:r>
          </w:p>
        </w:tc>
        <w:tc>
          <w:tcPr>
            <w:tcW w:type="dxa" w:w="4320"/>
          </w:tcPr>
          <w:p>
            <w:r>
              <w:t>36 85% 55% (or/doré)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210 30% 98% (blanc cassé)</w:t>
            </w:r>
          </w:p>
        </w:tc>
      </w:tr>
      <w:tr>
        <w:tc>
          <w:tcPr>
            <w:tcW w:type="dxa" w:w="4320"/>
          </w:tcPr>
          <w:p>
            <w:r>
              <w:t>Foreground</w:t>
            </w:r>
          </w:p>
        </w:tc>
        <w:tc>
          <w:tcPr>
            <w:tcW w:type="dxa" w:w="4320"/>
          </w:tcPr>
          <w:p>
            <w:r>
              <w:t>210 50% 10% (quasi-noir)</w:t>
            </w:r>
          </w:p>
        </w:tc>
      </w:tr>
      <w:tr>
        <w:tc>
          <w:tcPr>
            <w:tcW w:type="dxa" w:w="4320"/>
          </w:tcPr>
          <w:p>
            <w:r>
              <w:t>Typographie titres</w:t>
            </w:r>
          </w:p>
        </w:tc>
        <w:tc>
          <w:tcPr>
            <w:tcW w:type="dxa" w:w="4320"/>
          </w:tcPr>
          <w:p>
            <w:r>
              <w:t>Playfair Display (serif)</w:t>
            </w:r>
          </w:p>
        </w:tc>
      </w:tr>
      <w:tr>
        <w:tc>
          <w:tcPr>
            <w:tcW w:type="dxa" w:w="4320"/>
          </w:tcPr>
          <w:p>
            <w:r>
              <w:t>Typographie corps</w:t>
            </w:r>
          </w:p>
        </w:tc>
        <w:tc>
          <w:tcPr>
            <w:tcW w:type="dxa" w:w="4320"/>
          </w:tcPr>
          <w:p>
            <w:r>
              <w:t>Montserrat (sans-serif)</w:t>
            </w:r>
          </w:p>
        </w:tc>
      </w:tr>
    </w:tbl>
    <w:p>
      <w:pPr>
        <w:pStyle w:val="Heading1"/>
      </w:pPr>
      <w:r>
        <w:t>7. Gestion audio</w:t>
      </w:r>
    </w:p>
    <w:p>
      <w:r>
        <w:t>Une musique de fond (background.mp3) est jouée en boucle avec volume à 30%. L'autoplay est tenté au chargement (desktop). Sur mobile, le démarrage est déclenché au premier toucher/clic de l'utilisateur. Un bouton Play/Mute permet le contrôle manuel.</w:t>
      </w:r>
    </w:p>
    <w:p>
      <w:pPr>
        <w:pStyle w:val="Heading1"/>
      </w:pPr>
      <w:r>
        <w:t>8. Responsive Design</w:t>
      </w:r>
    </w:p>
    <w:p>
      <w:r>
        <w:t>La grille des candidats s'adapte selon les breakpoints Tailwind 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Breakpoint</w:t>
            </w:r>
          </w:p>
        </w:tc>
        <w:tc>
          <w:tcPr>
            <w:tcW w:type="dxa" w:w="4320"/>
          </w:tcPr>
          <w:p>
            <w:r>
              <w:t>Colonnes</w:t>
            </w:r>
          </w:p>
        </w:tc>
      </w:tr>
      <w:tr>
        <w:tc>
          <w:tcPr>
            <w:tcW w:type="dxa" w:w="4320"/>
          </w:tcPr>
          <w:p>
            <w:r>
              <w:t>Mobile (&lt; 640px)</w:t>
            </w:r>
          </w:p>
        </w:tc>
        <w:tc>
          <w:tcPr>
            <w:tcW w:type="dxa" w:w="4320"/>
          </w:tcPr>
          <w:p>
            <w:r>
              <w:t>2 colonnes</w:t>
            </w:r>
          </w:p>
        </w:tc>
      </w:tr>
      <w:tr>
        <w:tc>
          <w:tcPr>
            <w:tcW w:type="dxa" w:w="4320"/>
          </w:tcPr>
          <w:p>
            <w:r>
              <w:t>Tablette (640-1023px)</w:t>
            </w:r>
          </w:p>
        </w:tc>
        <w:tc>
          <w:tcPr>
            <w:tcW w:type="dxa" w:w="4320"/>
          </w:tcPr>
          <w:p>
            <w:r>
              <w:t>3 colonnes</w:t>
            </w:r>
          </w:p>
        </w:tc>
      </w:tr>
      <w:tr>
        <w:tc>
          <w:tcPr>
            <w:tcW w:type="dxa" w:w="4320"/>
          </w:tcPr>
          <w:p>
            <w:r>
              <w:t>Desktop (1024-1279px)</w:t>
            </w:r>
          </w:p>
        </w:tc>
        <w:tc>
          <w:tcPr>
            <w:tcW w:type="dxa" w:w="4320"/>
          </w:tcPr>
          <w:p>
            <w:r>
              <w:t>4 colonnes</w:t>
            </w:r>
          </w:p>
        </w:tc>
      </w:tr>
      <w:tr>
        <w:tc>
          <w:tcPr>
            <w:tcW w:type="dxa" w:w="4320"/>
          </w:tcPr>
          <w:p>
            <w:r>
              <w:t>Grand écran (≥ 1280px)</w:t>
            </w:r>
          </w:p>
        </w:tc>
        <w:tc>
          <w:tcPr>
            <w:tcW w:type="dxa" w:w="4320"/>
          </w:tcPr>
          <w:p>
            <w:r>
              <w:t>5 colonnes</w:t>
            </w:r>
          </w:p>
        </w:tc>
      </w:tr>
    </w:tbl>
    <w:p>
      <w:pPr>
        <w:pStyle w:val="Heading1"/>
      </w:pPr>
      <w:r>
        <w:t>9. Scripts de développement</w:t>
      </w:r>
    </w:p>
    <w:p>
      <w:pPr>
        <w:pStyle w:val="ListBullet"/>
      </w:pPr>
      <w:r>
        <w:rPr>
          <w:b/>
        </w:rPr>
        <w:t>npm run dev</w:t>
      </w:r>
      <w:r>
        <w:t xml:space="preserve"> — Serveur de développement (port 8080)</w:t>
      </w:r>
    </w:p>
    <w:p>
      <w:pPr>
        <w:pStyle w:val="ListBullet"/>
      </w:pPr>
      <w:r>
        <w:rPr>
          <w:b/>
        </w:rPr>
        <w:t>npm run build</w:t>
      </w:r>
      <w:r>
        <w:t xml:space="preserve"> — Build de production</w:t>
      </w:r>
    </w:p>
    <w:p>
      <w:pPr>
        <w:pStyle w:val="ListBullet"/>
      </w:pPr>
      <w:r>
        <w:rPr>
          <w:b/>
        </w:rPr>
        <w:t>npm run test</w:t>
      </w:r>
      <w:r>
        <w:t xml:space="preserve"> — Exécution des tests (Vitest)</w:t>
      </w:r>
    </w:p>
    <w:p>
      <w:pPr>
        <w:pStyle w:val="ListBullet"/>
      </w:pPr>
      <w:r>
        <w:rPr>
          <w:b/>
        </w:rPr>
        <w:t>npm run lint</w:t>
      </w:r>
      <w:r>
        <w:t xml:space="preserve"> — Vérification ESLint</w:t>
      </w:r>
    </w:p>
    <w:p>
      <w:pPr>
        <w:pStyle w:val="Heading1"/>
      </w:pPr>
      <w:r>
        <w:t>10. Déploiement</w:t>
      </w:r>
    </w:p>
    <w:p>
      <w:r>
        <w:t>Le site est déployé via Lovable et accessible à l'URL :</w:t>
        <w:br/>
        <w:t>https://liste-pour-faire-gagner-saintpierre.lovable.app</w:t>
        <w:br/>
        <w:br/>
        <w:t>Le déploiement est automatique à chaque modification via l'interface Lovable.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