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eastAsia="Arial"/>
          <w:b/>
          <w:sz w:val="48"/>
        </w:rPr>
        <w:t>VAT Warehouse OCR Automation</w:t>
      </w:r>
    </w:p>
    <w:p>
      <w:r>
        <w:rPr>
          <w:rFonts w:ascii="Arial" w:hAnsi="Arial" w:eastAsia="Arial"/>
          <w:b/>
          <w:color w:val="046A38"/>
          <w:sz w:val="32"/>
        </w:rPr>
        <w:t>Functional Requirements and Processing Mechanism</w:t>
      </w:r>
    </w:p>
    <w:p>
      <w:r>
        <w:rPr>
          <w:rFonts w:ascii="Arial" w:hAnsi="Arial" w:eastAsia="Arial"/>
          <w:sz w:val="22"/>
        </w:rPr>
        <w:t>Updated version: expands the functional processing logic so tax, VAT and business readers can understand how documents are separated, classified, routed, checked, generated and approved.</w:t>
      </w:r>
    </w:p>
    <w:p>
      <w:r>
        <w:rPr>
          <w:rFonts w:ascii="Arial" w:hAnsi="Arial" w:eastAsia="Arial"/>
          <w:sz w:val="22"/>
        </w:rPr>
        <w:t>Formatting correction: portrait layout only, readable tables, minimum 11pt body text.</w:t>
      </w:r>
    </w:p>
    <w:tbl>
      <w:tblPr>
        <w:tblStyle w:val="TableGrid"/>
        <w:tblW w:type="auto" w:w="0"/>
        <w:jc w:val="center"/>
        <w:tblLayout w:type="autofit"/>
        <w:tblLook w:firstColumn="1" w:firstRow="1" w:lastColumn="0" w:lastRow="0" w:noHBand="0" w:noVBand="1" w:val="04A0"/>
      </w:tblPr>
      <w:tblGrid>
        <w:gridCol w:w="5018"/>
        <w:gridCol w:w="5018"/>
      </w:tblGrid>
      <w:tr>
        <w:tc>
          <w:tcPr>
            <w:tcW w:type="dxa" w:w="5018"/>
            <w:vAlign w:val="top"/>
            <w:tcMar>
              <w:top w:w="80" w:type="dxa"/>
              <w:start w:w="80" w:type="dxa"/>
              <w:bottom w:w="80" w:type="dxa"/>
              <w:end w:w="80" w:type="dxa"/>
            </w:tcMar>
            <w:shd w:fill="F3F4F4"/>
          </w:tcPr>
          <w:p>
            <w:pPr>
              <w:spacing w:after="0"/>
            </w:pPr>
            <w:r/>
            <w:r>
              <w:rPr>
                <w:rFonts w:ascii="Arial" w:hAnsi="Arial" w:eastAsia="Arial"/>
                <w:b/>
                <w:sz w:val="22"/>
              </w:rPr>
              <w:t>Target system</w:t>
            </w:r>
          </w:p>
        </w:tc>
        <w:tc>
          <w:tcPr>
            <w:tcW w:type="dxa" w:w="5018"/>
            <w:vAlign w:val="top"/>
            <w:tcMar>
              <w:top w:w="80" w:type="dxa"/>
              <w:start w:w="80" w:type="dxa"/>
              <w:bottom w:w="80" w:type="dxa"/>
              <w:end w:w="80" w:type="dxa"/>
            </w:tcMar>
          </w:tcPr>
          <w:p>
            <w:pPr>
              <w:spacing w:after="0"/>
            </w:pPr>
            <w:r/>
            <w:r>
              <w:rPr>
                <w:rFonts w:ascii="Arial" w:hAnsi="Arial" w:eastAsia="Arial"/>
                <w:b w:val="0"/>
                <w:sz w:val="22"/>
              </w:rPr>
              <w:t>Custom Odoo 19.0 Enterprise module: vat_warehouse_document_automation</w:t>
            </w:r>
          </w:p>
        </w:tc>
      </w:tr>
      <w:tr>
        <w:tc>
          <w:tcPr>
            <w:tcW w:type="dxa" w:w="5018"/>
            <w:vAlign w:val="top"/>
            <w:tcMar>
              <w:top w:w="80" w:type="dxa"/>
              <w:start w:w="80" w:type="dxa"/>
              <w:bottom w:w="80" w:type="dxa"/>
              <w:end w:w="80" w:type="dxa"/>
            </w:tcMar>
            <w:shd w:fill="F3F4F4"/>
          </w:tcPr>
          <w:p>
            <w:pPr>
              <w:spacing w:after="0"/>
            </w:pPr>
            <w:r/>
            <w:r>
              <w:rPr>
                <w:rFonts w:ascii="Arial" w:hAnsi="Arial" w:eastAsia="Arial"/>
                <w:b/>
                <w:sz w:val="22"/>
              </w:rPr>
              <w:t>Audience</w:t>
            </w:r>
          </w:p>
        </w:tc>
        <w:tc>
          <w:tcPr>
            <w:tcW w:type="dxa" w:w="5018"/>
            <w:vAlign w:val="top"/>
            <w:tcMar>
              <w:top w:w="80" w:type="dxa"/>
              <w:start w:w="80" w:type="dxa"/>
              <w:bottom w:w="80" w:type="dxa"/>
              <w:end w:w="80" w:type="dxa"/>
            </w:tcMar>
          </w:tcPr>
          <w:p>
            <w:pPr>
              <w:spacing w:after="0"/>
            </w:pPr>
            <w:r/>
            <w:r>
              <w:rPr>
                <w:rFonts w:ascii="Arial" w:hAnsi="Arial" w:eastAsia="Arial"/>
                <w:b w:val="0"/>
                <w:sz w:val="22"/>
              </w:rPr>
              <w:t>Tax/VAT stakeholders, Odoo functional consultants, Odoo developers</w:t>
            </w:r>
          </w:p>
        </w:tc>
      </w:tr>
      <w:tr>
        <w:tc>
          <w:tcPr>
            <w:tcW w:type="dxa" w:w="5018"/>
            <w:vAlign w:val="top"/>
            <w:tcMar>
              <w:top w:w="80" w:type="dxa"/>
              <w:start w:w="80" w:type="dxa"/>
              <w:bottom w:w="80" w:type="dxa"/>
              <w:end w:w="80" w:type="dxa"/>
            </w:tcMar>
            <w:shd w:fill="F3F4F4"/>
          </w:tcPr>
          <w:p>
            <w:pPr>
              <w:spacing w:after="0"/>
            </w:pPr>
            <w:r/>
            <w:r>
              <w:rPr>
                <w:rFonts w:ascii="Arial" w:hAnsi="Arial" w:eastAsia="Arial"/>
                <w:b/>
                <w:sz w:val="22"/>
              </w:rPr>
              <w:t>Scope</w:t>
            </w:r>
          </w:p>
        </w:tc>
        <w:tc>
          <w:tcPr>
            <w:tcW w:type="dxa" w:w="5018"/>
            <w:vAlign w:val="top"/>
            <w:tcMar>
              <w:top w:w="80" w:type="dxa"/>
              <w:start w:w="80" w:type="dxa"/>
              <w:bottom w:w="80" w:type="dxa"/>
              <w:end w:w="80" w:type="dxa"/>
            </w:tcMar>
          </w:tcPr>
          <w:p>
            <w:pPr>
              <w:spacing w:after="0"/>
            </w:pPr>
            <w:r/>
            <w:r>
              <w:rPr>
                <w:rFonts w:ascii="Arial" w:hAnsi="Arial" w:eastAsia="Arial"/>
                <w:b w:val="0"/>
                <w:sz w:val="22"/>
              </w:rPr>
              <w:t>Functional requirements for intake, classification, OCR/extraction, validation, VIES/VAT checks, document generation and approval</w:t>
            </w:r>
          </w:p>
        </w:tc>
      </w:tr>
      <w:tr>
        <w:tc>
          <w:tcPr>
            <w:tcW w:type="dxa" w:w="5018"/>
            <w:vAlign w:val="top"/>
            <w:tcMar>
              <w:top w:w="80" w:type="dxa"/>
              <w:start w:w="80" w:type="dxa"/>
              <w:bottom w:w="80" w:type="dxa"/>
              <w:end w:w="80" w:type="dxa"/>
            </w:tcMar>
            <w:shd w:fill="F3F4F4"/>
          </w:tcPr>
          <w:p>
            <w:pPr>
              <w:spacing w:after="0"/>
            </w:pPr>
            <w:r/>
            <w:r>
              <w:rPr>
                <w:rFonts w:ascii="Arial" w:hAnsi="Arial" w:eastAsia="Arial"/>
                <w:b/>
                <w:sz w:val="22"/>
              </w:rPr>
              <w:t>Source basis</w:t>
            </w:r>
          </w:p>
        </w:tc>
        <w:tc>
          <w:tcPr>
            <w:tcW w:type="dxa" w:w="5018"/>
            <w:vAlign w:val="top"/>
            <w:tcMar>
              <w:top w:w="80" w:type="dxa"/>
              <w:start w:w="80" w:type="dxa"/>
              <w:bottom w:w="80" w:type="dxa"/>
              <w:end w:w="80" w:type="dxa"/>
            </w:tcMar>
          </w:tcPr>
          <w:p>
            <w:pPr>
              <w:spacing w:after="0"/>
            </w:pPr>
            <w:r/>
            <w:r>
              <w:rPr>
                <w:rFonts w:ascii="Arial" w:hAnsi="Arial" w:eastAsia="Arial"/>
                <w:b w:val="0"/>
                <w:sz w:val="22"/>
              </w:rPr>
              <w:t>Existing Developer Implementation Guide, GitHub VAT Warehouse Scenario Explainer, and scenario ZIP package list</w:t>
            </w:r>
          </w:p>
        </w:tc>
      </w:tr>
      <w:tr>
        <w:tc>
          <w:tcPr>
            <w:tcW w:type="dxa" w:w="5018"/>
            <w:vAlign w:val="top"/>
            <w:tcMar>
              <w:top w:w="80" w:type="dxa"/>
              <w:start w:w="80" w:type="dxa"/>
              <w:bottom w:w="80" w:type="dxa"/>
              <w:end w:w="80" w:type="dxa"/>
            </w:tcMar>
            <w:shd w:fill="F3F4F4"/>
          </w:tcPr>
          <w:p>
            <w:pPr>
              <w:spacing w:after="0"/>
            </w:pPr>
            <w:r/>
            <w:r>
              <w:rPr>
                <w:rFonts w:ascii="Arial" w:hAnsi="Arial" w:eastAsia="Arial"/>
                <w:b/>
                <w:sz w:val="22"/>
              </w:rPr>
              <w:t>Important principle</w:t>
            </w:r>
          </w:p>
        </w:tc>
        <w:tc>
          <w:tcPr>
            <w:tcW w:type="dxa" w:w="5018"/>
            <w:vAlign w:val="top"/>
            <w:tcMar>
              <w:top w:w="80" w:type="dxa"/>
              <w:start w:w="80" w:type="dxa"/>
              <w:bottom w:w="80" w:type="dxa"/>
              <w:end w:w="80" w:type="dxa"/>
            </w:tcMar>
          </w:tcPr>
          <w:p>
            <w:pPr>
              <w:spacing w:after="0"/>
            </w:pPr>
            <w:r/>
            <w:r>
              <w:rPr>
                <w:rFonts w:ascii="Arial" w:hAnsi="Arial" w:eastAsia="Arial"/>
                <w:b w:val="0"/>
                <w:sz w:val="22"/>
              </w:rPr>
              <w:t>The system prepares and generates the full dossier package, but a human reviewer validates before final status</w:t>
            </w:r>
          </w:p>
        </w:tc>
      </w:tr>
    </w:tbl>
    <w:p>
      <w:r>
        <w:rPr>
          <w:rFonts w:ascii="Arial" w:hAnsi="Arial" w:eastAsia="Arial"/>
          <w:sz w:val="22"/>
        </w:rPr>
        <w:br w:type="page"/>
      </w:r>
    </w:p>
    <w:p>
      <w:pPr>
        <w:pStyle w:val="Heading1"/>
      </w:pPr>
      <w:r>
        <w:rPr>
          <w:rFonts w:ascii="Arial" w:hAnsi="Arial" w:eastAsia="Arial"/>
        </w:rPr>
        <w:t>Table of contents</w:t>
      </w:r>
    </w:p>
    <w:p>
      <w:pPr>
        <w:pStyle w:val="ListBullet"/>
        <w:spacing w:after="60"/>
      </w:pPr>
      <w:r>
        <w:rPr>
          <w:rFonts w:ascii="Arial" w:hAnsi="Arial" w:eastAsia="Arial"/>
          <w:sz w:val="22"/>
        </w:rPr>
        <w:t>1. Implementation objective</w:t>
      </w:r>
    </w:p>
    <w:p>
      <w:pPr>
        <w:pStyle w:val="ListBullet"/>
        <w:spacing w:after="60"/>
      </w:pPr>
      <w:r>
        <w:rPr>
          <w:rFonts w:ascii="Arial" w:hAnsi="Arial" w:eastAsia="Arial"/>
          <w:sz w:val="22"/>
        </w:rPr>
        <w:t>2. Functional process primer: documents and when they are needed</w:t>
      </w:r>
    </w:p>
    <w:p>
      <w:pPr>
        <w:pStyle w:val="ListBullet"/>
        <w:spacing w:after="60"/>
      </w:pPr>
      <w:r>
        <w:rPr>
          <w:rFonts w:ascii="Arial" w:hAnsi="Arial" w:eastAsia="Arial"/>
          <w:sz w:val="22"/>
        </w:rPr>
        <w:t>3. Functional processing mechanism: how the system decides, routes and generates</w:t>
      </w:r>
    </w:p>
    <w:p>
      <w:pPr>
        <w:pStyle w:val="ListBullet"/>
        <w:spacing w:after="60"/>
      </w:pPr>
      <w:r>
        <w:rPr>
          <w:rFonts w:ascii="Arial" w:hAnsi="Arial" w:eastAsia="Arial"/>
          <w:sz w:val="22"/>
        </w:rPr>
        <w:t>4. Reuse decision matrix</w:t>
      </w:r>
    </w:p>
    <w:p>
      <w:pPr>
        <w:pStyle w:val="ListBullet"/>
        <w:spacing w:after="60"/>
      </w:pPr>
      <w:r>
        <w:rPr>
          <w:rFonts w:ascii="Arial" w:hAnsi="Arial" w:eastAsia="Arial"/>
          <w:sz w:val="22"/>
        </w:rPr>
        <w:t>5. Functional requirements by capability</w:t>
      </w:r>
    </w:p>
    <w:p>
      <w:pPr>
        <w:pStyle w:val="ListBullet"/>
        <w:spacing w:after="60"/>
      </w:pPr>
      <w:r>
        <w:rPr>
          <w:rFonts w:ascii="Arial" w:hAnsi="Arial" w:eastAsia="Arial"/>
          <w:sz w:val="22"/>
        </w:rPr>
        <w:t>6. Approval, audit and exception handling</w:t>
      </w:r>
    </w:p>
    <w:p>
      <w:pPr>
        <w:pStyle w:val="ListBullet"/>
        <w:spacing w:after="60"/>
      </w:pPr>
      <w:r>
        <w:rPr>
          <w:rFonts w:ascii="Arial" w:hAnsi="Arial" w:eastAsia="Arial"/>
          <w:sz w:val="22"/>
        </w:rPr>
        <w:t>7. Phase 0 build focus and acceptance criteria</w:t>
      </w:r>
    </w:p>
    <w:p>
      <w:pPr>
        <w:pStyle w:val="ListBullet"/>
        <w:spacing w:after="60"/>
      </w:pPr>
      <w:r>
        <w:rPr>
          <w:rFonts w:ascii="Arial" w:hAnsi="Arial" w:eastAsia="Arial"/>
          <w:sz w:val="22"/>
        </w:rPr>
        <w:t>8. Final handoff summary</w:t>
      </w:r>
    </w:p>
    <w:p>
      <w:r>
        <w:rPr>
          <w:rFonts w:ascii="Arial" w:hAnsi="Arial" w:eastAsia="Arial"/>
          <w:sz w:val="22"/>
        </w:rPr>
        <w:br w:type="page"/>
      </w:r>
    </w:p>
    <w:p>
      <w:pPr>
        <w:pStyle w:val="Heading1"/>
      </w:pPr>
      <w:r>
        <w:rPr>
          <w:rFonts w:ascii="Arial" w:hAnsi="Arial" w:eastAsia="Arial"/>
        </w:rPr>
        <w:t>1. Implementation objective</w:t>
      </w:r>
    </w:p>
    <w:p>
      <w:r>
        <w:rPr>
          <w:rFonts w:ascii="Arial" w:hAnsi="Arial" w:eastAsia="Arial"/>
          <w:sz w:val="22"/>
        </w:rPr>
        <w:t>What we are building: a custom Odoo module, vat_warehouse_document_automation, that supports the VAT warehouse document process end-to-end.</w:t>
      </w:r>
    </w:p>
    <w:p>
      <w:r>
        <w:rPr>
          <w:rFonts w:ascii="Arial" w:hAnsi="Arial" w:eastAsia="Arial"/>
          <w:sz w:val="22"/>
        </w:rPr>
        <w:t>The module must:</w:t>
      </w:r>
    </w:p>
    <w:p>
      <w:pPr>
        <w:pStyle w:val="ListBullet"/>
        <w:spacing w:after="60"/>
      </w:pPr>
      <w:r>
        <w:rPr>
          <w:rFonts w:ascii="Arial" w:hAnsi="Arial" w:eastAsia="Arial"/>
          <w:sz w:val="22"/>
        </w:rPr>
        <w:t>upload source documents such as 796.6 documents, invoices and transfer documents</w:t>
      </w:r>
    </w:p>
    <w:p>
      <w:pPr>
        <w:pStyle w:val="ListBullet"/>
        <w:spacing w:after="60"/>
      </w:pPr>
      <w:r>
        <w:rPr>
          <w:rFonts w:ascii="Arial" w:hAnsi="Arial" w:eastAsia="Arial"/>
          <w:sz w:val="22"/>
        </w:rPr>
        <w:t>store the original source document unchanged as an attachment</w:t>
      </w:r>
    </w:p>
    <w:p>
      <w:pPr>
        <w:pStyle w:val="ListBullet"/>
        <w:spacing w:after="60"/>
      </w:pPr>
      <w:r>
        <w:rPr>
          <w:rFonts w:ascii="Arial" w:hAnsi="Arial" w:eastAsia="Arial"/>
          <w:sz w:val="22"/>
        </w:rPr>
        <w:t>classify the document type and route it to the correct flow</w:t>
      </w:r>
    </w:p>
    <w:p>
      <w:pPr>
        <w:pStyle w:val="ListBullet"/>
        <w:spacing w:after="60"/>
      </w:pPr>
      <w:r>
        <w:rPr>
          <w:rFonts w:ascii="Arial" w:hAnsi="Arial" w:eastAsia="Arial"/>
          <w:sz w:val="22"/>
        </w:rPr>
        <w:t>extract relevant fields through a replaceable extraction engine</w:t>
      </w:r>
    </w:p>
    <w:p>
      <w:pPr>
        <w:pStyle w:val="ListBullet"/>
        <w:spacing w:after="60"/>
      </w:pPr>
      <w:r>
        <w:rPr>
          <w:rFonts w:ascii="Arial" w:hAnsi="Arial" w:eastAsia="Arial"/>
          <w:sz w:val="22"/>
        </w:rPr>
        <w:t>allow human review and correction of extracted fields, while preserving raw and corrected values</w:t>
      </w:r>
    </w:p>
    <w:p>
      <w:pPr>
        <w:pStyle w:val="ListBullet"/>
        <w:spacing w:after="60"/>
      </w:pPr>
      <w:r>
        <w:rPr>
          <w:rFonts w:ascii="Arial" w:hAnsi="Arial" w:eastAsia="Arial"/>
          <w:sz w:val="22"/>
        </w:rPr>
        <w:t>save reusable mapping templates per document type, client/party and layout</w:t>
      </w:r>
    </w:p>
    <w:p>
      <w:pPr>
        <w:pStyle w:val="ListBullet"/>
        <w:spacing w:after="60"/>
      </w:pPr>
      <w:r>
        <w:rPr>
          <w:rFonts w:ascii="Arial" w:hAnsi="Arial" w:eastAsia="Arial"/>
          <w:sz w:val="22"/>
        </w:rPr>
        <w:t>create Entry/Inslag documents and generate them as QWeb PDFs</w:t>
      </w:r>
    </w:p>
    <w:p>
      <w:pPr>
        <w:pStyle w:val="ListBullet"/>
        <w:spacing w:after="60"/>
      </w:pPr>
      <w:r>
        <w:rPr>
          <w:rFonts w:ascii="Arial" w:hAnsi="Arial" w:eastAsia="Arial"/>
          <w:sz w:val="22"/>
        </w:rPr>
        <w:t>create Exit/Uitslag documents with the complete supporting evidence package</w:t>
      </w:r>
    </w:p>
    <w:p>
      <w:pPr>
        <w:pStyle w:val="ListBullet"/>
        <w:spacing w:after="60"/>
      </w:pPr>
      <w:r>
        <w:rPr>
          <w:rFonts w:ascii="Arial" w:hAnsi="Arial" w:eastAsia="Arial"/>
          <w:sz w:val="22"/>
        </w:rPr>
        <w:t>run VAT/VIES checks, store the evidence record, and generate a proof PDF</w:t>
      </w:r>
    </w:p>
    <w:p>
      <w:pPr>
        <w:pStyle w:val="ListBullet"/>
        <w:spacing w:after="60"/>
      </w:pPr>
      <w:r>
        <w:rPr>
          <w:rFonts w:ascii="Arial" w:hAnsi="Arial" w:eastAsia="Arial"/>
          <w:sz w:val="22"/>
        </w:rPr>
        <w:t>generate supporting documents such as Bestemmingsdocument and BTW Nota as PDFs</w:t>
      </w:r>
    </w:p>
    <w:p>
      <w:pPr>
        <w:pStyle w:val="ListBullet"/>
        <w:spacing w:after="60"/>
      </w:pPr>
      <w:r>
        <w:rPr>
          <w:rFonts w:ascii="Arial" w:hAnsi="Arial" w:eastAsia="Arial"/>
          <w:sz w:val="22"/>
        </w:rPr>
        <w:t>keep original source documents, extracted data, corrections, generated PDFs and audit trail together in Odoo</w:t>
      </w:r>
    </w:p>
    <w:tbl>
      <w:tblPr>
        <w:tblW w:type="auto" w:w="0"/>
        <w:tblLook w:firstColumn="1" w:firstRow="1" w:lastColumn="0" w:lastRow="0" w:noHBand="0" w:noVBand="1" w:val="04A0"/>
      </w:tblPr>
      <w:tblGrid>
        <w:gridCol w:w="10037"/>
      </w:tblGrid>
      <w:tr>
        <w:tc>
          <w:tcPr>
            <w:tcW w:type="dxa" w:w="10037"/>
            <w:shd w:fill="EAF3DA"/>
            <w:tcMar>
              <w:top w:w="130" w:type="dxa"/>
              <w:start w:w="150" w:type="dxa"/>
              <w:bottom w:w="130" w:type="dxa"/>
              <w:end w:w="150" w:type="dxa"/>
            </w:tcMar>
          </w:tcPr>
          <w:p>
            <w:pPr>
              <w:spacing w:after="40"/>
            </w:pPr>
            <w:r>
              <w:rPr>
                <w:rFonts w:ascii="Arial" w:hAnsi="Arial"/>
                <w:b/>
                <w:sz w:val="22"/>
              </w:rPr>
              <w:t>Key implementation principle</w:t>
            </w:r>
          </w:p>
          <w:p>
            <w:pPr>
              <w:spacing w:after="0"/>
            </w:pPr>
            <w:r>
              <w:rPr>
                <w:rFonts w:ascii="Arial" w:hAnsi="Arial"/>
                <w:sz w:val="22"/>
              </w:rPr>
              <w:t>Odoo is the system of record. The extraction engine is replaceable. The first version must prove the document flow, review logic, mapping memory, audit trail and PDF generation; it must not silently automate fiscal decisions before VAT/legal validation.</w:t>
            </w:r>
          </w:p>
        </w:tc>
      </w:tr>
    </w:tbl>
    <w:p/>
    <w:p>
      <w:pPr>
        <w:pStyle w:val="Heading1"/>
      </w:pPr>
      <w:r>
        <w:rPr>
          <w:rFonts w:ascii="Arial" w:hAnsi="Arial" w:eastAsia="Arial"/>
        </w:rPr>
        <w:t>2. Functional process primer: documents and when they are needed</w:t>
      </w:r>
    </w:p>
    <w:p>
      <w:pPr>
        <w:pStyle w:val="Heading2"/>
      </w:pPr>
      <w:r>
        <w:rPr>
          <w:rFonts w:ascii="Arial" w:hAnsi="Arial" w:eastAsia="Arial"/>
        </w:rPr>
        <w:t>2.1 VAT warehouse process in short</w:t>
      </w:r>
    </w:p>
    <w:p>
      <w:r>
        <w:rPr>
          <w:rFonts w:ascii="Arial" w:hAnsi="Arial" w:eastAsia="Arial"/>
          <w:sz w:val="22"/>
        </w:rPr>
        <w:t>The module automates incoming and outgoing VAT warehouse document flows. Incoming documents lead to an Entry/Inslag document. Outgoing triggers lead to an Exit/Uitslag document plus supporting evidence. The system keeps the original documents, extracted fields, generated PDFs and audit trail together in Odoo. It prepares the full dossier package, but a human reviewer confirms the content before a document becomes final.</w:t>
      </w:r>
    </w:p>
    <w:p>
      <w:pPr>
        <w:pStyle w:val="Heading2"/>
      </w:pPr>
      <w:r>
        <w:rPr>
          <w:rFonts w:ascii="Arial" w:hAnsi="Arial" w:eastAsia="Arial"/>
        </w:rPr>
        <w:t>2.2 Input documents</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vAlign w:val="top"/>
            <w:tcMar>
              <w:top w:w="80" w:type="dxa"/>
              <w:start w:w="80" w:type="dxa"/>
              <w:bottom w:w="80" w:type="dxa"/>
              <w:end w:w="80" w:type="dxa"/>
            </w:tcMar>
            <w:shd w:fill="046A38"/>
          </w:tcPr>
          <w:p>
            <w:pPr>
              <w:spacing w:after="40"/>
            </w:pPr>
            <w:r>
              <w:rPr>
                <w:rFonts w:ascii="Arial" w:hAnsi="Arial" w:eastAsia="Arial"/>
                <w:b/>
                <w:color w:val="FFFFFF"/>
                <w:sz w:val="22"/>
              </w:rPr>
            </w:r>
            <w:r>
              <w:rPr>
                <w:rFonts w:ascii="Arial" w:hAnsi="Arial" w:eastAsia="Arial"/>
                <w:b/>
                <w:color w:val="FFFFFF"/>
                <w:sz w:val="22"/>
              </w:rPr>
              <w:t>Document</w:t>
            </w:r>
          </w:p>
        </w:tc>
        <w:tc>
          <w:tcPr>
            <w:tcW w:type="dxa" w:w="2509"/>
            <w:vAlign w:val="top"/>
            <w:tcMar>
              <w:top w:w="80" w:type="dxa"/>
              <w:start w:w="80" w:type="dxa"/>
              <w:bottom w:w="80" w:type="dxa"/>
              <w:end w:w="80" w:type="dxa"/>
            </w:tcMar>
            <w:shd w:fill="046A38"/>
          </w:tcPr>
          <w:p>
            <w:pPr>
              <w:spacing w:after="40"/>
            </w:pPr>
            <w:r>
              <w:rPr>
                <w:rFonts w:ascii="Arial" w:hAnsi="Arial" w:eastAsia="Arial"/>
                <w:b/>
                <w:color w:val="FFFFFF"/>
                <w:sz w:val="22"/>
              </w:rPr>
            </w:r>
            <w:r>
              <w:rPr>
                <w:rFonts w:ascii="Arial" w:hAnsi="Arial" w:eastAsia="Arial"/>
                <w:b/>
                <w:color w:val="FFFFFF"/>
                <w:sz w:val="22"/>
              </w:rPr>
              <w:t>What it is</w:t>
            </w:r>
          </w:p>
        </w:tc>
        <w:tc>
          <w:tcPr>
            <w:tcW w:type="dxa" w:w="2509"/>
            <w:vAlign w:val="top"/>
            <w:tcMar>
              <w:top w:w="80" w:type="dxa"/>
              <w:start w:w="80" w:type="dxa"/>
              <w:bottom w:w="80" w:type="dxa"/>
              <w:end w:w="80" w:type="dxa"/>
            </w:tcMar>
            <w:shd w:fill="046A38"/>
          </w:tcPr>
          <w:p>
            <w:pPr>
              <w:spacing w:after="40"/>
            </w:pPr>
            <w:r>
              <w:rPr>
                <w:rFonts w:ascii="Arial" w:hAnsi="Arial" w:eastAsia="Arial"/>
                <w:b/>
                <w:color w:val="FFFFFF"/>
                <w:sz w:val="22"/>
              </w:rPr>
            </w:r>
            <w:r>
              <w:rPr>
                <w:rFonts w:ascii="Arial" w:hAnsi="Arial" w:eastAsia="Arial"/>
                <w:b/>
                <w:color w:val="FFFFFF"/>
                <w:sz w:val="22"/>
              </w:rPr>
              <w:t>Key fields to read</w:t>
            </w:r>
          </w:p>
        </w:tc>
        <w:tc>
          <w:tcPr>
            <w:tcW w:type="dxa" w:w="2509"/>
            <w:vAlign w:val="top"/>
            <w:tcMar>
              <w:top w:w="80" w:type="dxa"/>
              <w:start w:w="80" w:type="dxa"/>
              <w:bottom w:w="80" w:type="dxa"/>
              <w:end w:w="80" w:type="dxa"/>
            </w:tcMar>
            <w:shd w:fill="046A38"/>
          </w:tcPr>
          <w:p>
            <w:pPr>
              <w:spacing w:after="40"/>
            </w:pPr>
            <w:r>
              <w:rPr>
                <w:rFonts w:ascii="Arial" w:hAnsi="Arial" w:eastAsia="Arial"/>
                <w:b/>
                <w:color w:val="FFFFFF"/>
                <w:sz w:val="22"/>
              </w:rPr>
            </w:r>
            <w:r>
              <w:rPr>
                <w:rFonts w:ascii="Arial" w:hAnsi="Arial" w:eastAsia="Arial"/>
                <w:b/>
                <w:color w:val="FFFFFF"/>
                <w:sz w:val="22"/>
              </w:rPr>
              <w:t>OCR/extraction approach</w:t>
            </w:r>
          </w:p>
        </w:tc>
      </w:tr>
      <w:tr>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Customs Import Document 796.6</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Customs/import-related source document proving that goods entered the country.</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Document date, customs reference, file number, supplier/owner/customer, VAT number, commodity code, goods description, weight, volume, origin/destination, VAT warehouse/global number.</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Not invoice OCR. Use custom extraction bridge, mapping template and human review.</w:t>
            </w:r>
          </w:p>
        </w:tc>
      </w:tr>
      <w:tr>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Supplier invoice / purchase invoice</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Commercial document from the supplier side.</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Supplier, invoice number/date, VAT number, amount, tax details, line descriptions, product references.</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Use native Odoo invoice OCR through account.move where possible.</w:t>
            </w:r>
          </w:p>
        </w:tc>
      </w:tr>
      <w:tr>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Transfer documents</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Documents describing movement/transfer of goods when invoice/customs document is not sufficient.</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Reference, date, sender/receiver, goods description, quantities, weight/volume, origin/destination, related invoice/customs reference.</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Not invoice OCR. Use custom extraction bridge or mapping/regex engine.</w:t>
            </w:r>
          </w:p>
        </w:tc>
      </w:tr>
    </w:tbl>
    <w:p>
      <w:pPr>
        <w:pStyle w:val="Heading2"/>
      </w:pPr>
      <w:r>
        <w:rPr>
          <w:rFonts w:ascii="Arial" w:hAnsi="Arial" w:eastAsia="Arial"/>
        </w:rPr>
        <w:t>2.3 Entry/Inslag output</w:t>
      </w:r>
    </w:p>
    <w:p>
      <w:r>
        <w:rPr>
          <w:rFonts w:ascii="Arial" w:hAnsi="Arial" w:eastAsia="Arial"/>
          <w:sz w:val="22"/>
        </w:rPr>
        <w:t>The Entry Document VAT-Warehouse is generated after incoming document data is extracted and validated. It links back to the source documents and contains partner, warehouse, reference, commodity, goods line, quantity, weight and volume information. It is generated as a QWeb PDF, stored as an attachment, and versioned if regenerated after corrections.</w:t>
      </w:r>
    </w:p>
    <w:p>
      <w:pPr>
        <w:pStyle w:val="Heading2"/>
      </w:pPr>
      <w:r>
        <w:rPr>
          <w:rFonts w:ascii="Arial" w:hAnsi="Arial" w:eastAsia="Arial"/>
        </w:rPr>
        <w:t>2.4 Output trigger documents</w:t>
      </w:r>
    </w:p>
    <w:p>
      <w:pPr>
        <w:pStyle w:val="ListBullet"/>
        <w:spacing w:after="60"/>
      </w:pPr>
      <w:r>
        <w:rPr>
          <w:rFonts w:ascii="Arial" w:hAnsi="Arial" w:eastAsia="Arial"/>
          <w:sz w:val="22"/>
        </w:rPr>
        <w:t>Sales invoice: commercial trigger for the outgoing flow. If it already exists in Odoo, the module reads directly from account.move. If it enters as a document, native invoice OCR can be used because it is a real invoice.</w:t>
      </w:r>
    </w:p>
    <w:p>
      <w:pPr>
        <w:pStyle w:val="ListBullet"/>
        <w:spacing w:after="60"/>
      </w:pPr>
      <w:r>
        <w:rPr>
          <w:rFonts w:ascii="Arial" w:hAnsi="Arial" w:eastAsia="Arial"/>
          <w:sz w:val="22"/>
        </w:rPr>
        <w:t>Customs Export Document 796.6: customs/export-related source document proving goods left the country. It is not processed as an invoice; it needs custom extraction and review.</w:t>
      </w:r>
    </w:p>
    <w:p>
      <w:pPr>
        <w:pStyle w:val="ListBullet"/>
        <w:spacing w:after="60"/>
      </w:pPr>
      <w:r>
        <w:rPr>
          <w:rFonts w:ascii="Arial" w:hAnsi="Arial" w:eastAsia="Arial"/>
          <w:sz w:val="22"/>
        </w:rPr>
        <w:t>Transfer documents: alternative trigger for outgoing goods movement when goods leave without a standard sales invoice. They need custom extraction or manual/mapping-based input.</w:t>
      </w:r>
    </w:p>
    <w:p>
      <w:pPr>
        <w:pStyle w:val="Heading2"/>
      </w:pPr>
      <w:r>
        <w:rPr>
          <w:rFonts w:ascii="Arial" w:hAnsi="Arial" w:eastAsia="Arial"/>
        </w:rPr>
        <w:t>2.5 Exit/Uitslag output package</w:t>
      </w:r>
    </w:p>
    <w:p>
      <w:pPr>
        <w:pStyle w:val="ListBullet"/>
        <w:spacing w:after="60"/>
      </w:pPr>
      <w:r>
        <w:rPr>
          <w:rFonts w:ascii="Arial" w:hAnsi="Arial" w:eastAsia="Arial"/>
          <w:sz w:val="22"/>
        </w:rPr>
        <w:t>Exit Document VAT-Warehouse: main outgoing VAT warehouse document, linked to the outgoing trigger and the matching Entry Document where possible.</w:t>
      </w:r>
    </w:p>
    <w:p>
      <w:pPr>
        <w:pStyle w:val="ListBullet"/>
        <w:spacing w:after="60"/>
      </w:pPr>
      <w:r>
        <w:rPr>
          <w:rFonts w:ascii="Arial" w:hAnsi="Arial" w:eastAsia="Arial"/>
          <w:sz w:val="22"/>
        </w:rPr>
        <w:t>VIES Check: evidence that the EU customer VAT number was checked. Odoo base VAT/VIES functionality can provide a base signal, but the module must store a dedicated, timestamped vat.warehouse.vies.check record with proof PDF.</w:t>
      </w:r>
    </w:p>
    <w:p>
      <w:pPr>
        <w:pStyle w:val="ListBullet"/>
        <w:spacing w:after="60"/>
      </w:pPr>
      <w:r>
        <w:rPr>
          <w:rFonts w:ascii="Arial" w:hAnsi="Arial" w:eastAsia="Arial"/>
          <w:sz w:val="22"/>
        </w:rPr>
        <w:t>Bestemmingsdocument: destination/proof document. The system prepares/generates it as part of the package and the reviewer confirms applicability and content.</w:t>
      </w:r>
    </w:p>
    <w:p>
      <w:pPr>
        <w:pStyle w:val="ListBullet"/>
        <w:spacing w:after="60"/>
      </w:pPr>
      <w:r>
        <w:rPr>
          <w:rFonts w:ascii="Arial" w:hAnsi="Arial" w:eastAsia="Arial"/>
          <w:sz w:val="22"/>
        </w:rPr>
        <w:t>BTW Nota: VAT note. The system prepares/generates it as part of the package and the reviewer confirms applicability and content.</w:t>
      </w:r>
    </w:p>
    <w:p>
      <w:pPr>
        <w:pStyle w:val="Heading2"/>
      </w:pPr>
      <w:r>
        <w:rPr>
          <w:rFonts w:ascii="Arial" w:hAnsi="Arial" w:eastAsia="Arial"/>
        </w:rPr>
        <w:t>2.6 Practical table: what is created from what</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vAlign w:val="top"/>
            <w:tcMar>
              <w:top w:w="80" w:type="dxa"/>
              <w:start w:w="80" w:type="dxa"/>
              <w:bottom w:w="80" w:type="dxa"/>
              <w:end w:w="80" w:type="dxa"/>
            </w:tcMar>
            <w:shd w:fill="046A38"/>
          </w:tcPr>
          <w:p>
            <w:pPr>
              <w:spacing w:after="40"/>
            </w:pPr>
            <w:r>
              <w:rPr>
                <w:rFonts w:ascii="Arial" w:hAnsi="Arial" w:eastAsia="Arial"/>
                <w:b/>
                <w:color w:val="FFFFFF"/>
                <w:sz w:val="22"/>
              </w:rPr>
            </w:r>
            <w:r>
              <w:rPr>
                <w:rFonts w:ascii="Arial" w:hAnsi="Arial" w:eastAsia="Arial"/>
                <w:b/>
                <w:color w:val="FFFFFF"/>
                <w:sz w:val="22"/>
              </w:rPr>
              <w:t>Output document</w:t>
            </w:r>
          </w:p>
        </w:tc>
        <w:tc>
          <w:tcPr>
            <w:tcW w:type="dxa" w:w="2509"/>
            <w:vAlign w:val="top"/>
            <w:tcMar>
              <w:top w:w="80" w:type="dxa"/>
              <w:start w:w="80" w:type="dxa"/>
              <w:bottom w:w="80" w:type="dxa"/>
              <w:end w:w="80" w:type="dxa"/>
            </w:tcMar>
            <w:shd w:fill="046A38"/>
          </w:tcPr>
          <w:p>
            <w:pPr>
              <w:spacing w:after="40"/>
            </w:pPr>
            <w:r>
              <w:rPr>
                <w:rFonts w:ascii="Arial" w:hAnsi="Arial" w:eastAsia="Arial"/>
                <w:b/>
                <w:color w:val="FFFFFF"/>
                <w:sz w:val="22"/>
              </w:rPr>
            </w:r>
            <w:r>
              <w:rPr>
                <w:rFonts w:ascii="Arial" w:hAnsi="Arial" w:eastAsia="Arial"/>
                <w:b/>
                <w:color w:val="FFFFFF"/>
                <w:sz w:val="22"/>
              </w:rPr>
              <w:t>Created from</w:t>
            </w:r>
          </w:p>
        </w:tc>
        <w:tc>
          <w:tcPr>
            <w:tcW w:type="dxa" w:w="2509"/>
            <w:vAlign w:val="top"/>
            <w:tcMar>
              <w:top w:w="80" w:type="dxa"/>
              <w:start w:w="80" w:type="dxa"/>
              <w:bottom w:w="80" w:type="dxa"/>
              <w:end w:w="80" w:type="dxa"/>
            </w:tcMar>
            <w:shd w:fill="046A38"/>
          </w:tcPr>
          <w:p>
            <w:pPr>
              <w:spacing w:after="40"/>
            </w:pPr>
            <w:r>
              <w:rPr>
                <w:rFonts w:ascii="Arial" w:hAnsi="Arial" w:eastAsia="Arial"/>
                <w:b/>
                <w:color w:val="FFFFFF"/>
                <w:sz w:val="22"/>
              </w:rPr>
            </w:r>
            <w:r>
              <w:rPr>
                <w:rFonts w:ascii="Arial" w:hAnsi="Arial" w:eastAsia="Arial"/>
                <w:b/>
                <w:color w:val="FFFFFF"/>
                <w:sz w:val="22"/>
              </w:rPr>
              <w:t>Generated status</w:t>
            </w:r>
          </w:p>
        </w:tc>
        <w:tc>
          <w:tcPr>
            <w:tcW w:type="dxa" w:w="2509"/>
            <w:vAlign w:val="top"/>
            <w:tcMar>
              <w:top w:w="80" w:type="dxa"/>
              <w:start w:w="80" w:type="dxa"/>
              <w:bottom w:w="80" w:type="dxa"/>
              <w:end w:w="80" w:type="dxa"/>
            </w:tcMar>
            <w:shd w:fill="046A38"/>
          </w:tcPr>
          <w:p>
            <w:pPr>
              <w:spacing w:after="40"/>
            </w:pPr>
            <w:r>
              <w:rPr>
                <w:rFonts w:ascii="Arial" w:hAnsi="Arial" w:eastAsia="Arial"/>
                <w:b/>
                <w:color w:val="FFFFFF"/>
                <w:sz w:val="22"/>
              </w:rPr>
            </w:r>
            <w:r>
              <w:rPr>
                <w:rFonts w:ascii="Arial" w:hAnsi="Arial" w:eastAsia="Arial"/>
                <w:b/>
                <w:color w:val="FFFFFF"/>
                <w:sz w:val="22"/>
              </w:rPr>
              <w:t>Human approval</w:t>
            </w:r>
          </w:p>
        </w:tc>
      </w:tr>
      <w:tr>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Entry Document VAT-Warehouse</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Incoming 796.6, supplier invoice or transfer document</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Generated as draft/final PDF once incoming data is validated</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Reviewer confirms extracted data before finalization.</w:t>
            </w:r>
          </w:p>
        </w:tc>
      </w:tr>
      <w:tr>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Exit Document VAT-Warehouse</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Sales invoice, outgoing 796.6 or outgoing transfer document</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Generated as part of the outgoing dossier package</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Reviewer confirms link to Entry Document and goods details.</w:t>
            </w:r>
          </w:p>
        </w:tc>
      </w:tr>
      <w:tr>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VIES Check</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Customer VAT number from outgoing trigger/account.move/res.partner</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Prepared as evidence record in the exit package when VAT data is present; final relevance is reviewer-confirmed</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Reviewer confirms pass/fail/unavailable outcome before finalization.</w:t>
            </w:r>
          </w:p>
        </w:tc>
      </w:tr>
      <w:tr>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Bestemmingsdocument</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Exit dossier</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Prepared/generated in the exit package with requirement flag</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Reviewer confirms requirement and content.</w:t>
            </w:r>
          </w:p>
        </w:tc>
      </w:tr>
      <w:tr>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BTW Nota</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Exit dossier</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Prepared/generated in the exit package with requirement flag</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Reviewer confirms requirement and content.</w:t>
            </w:r>
          </w:p>
        </w:tc>
      </w:tr>
    </w:tbl>
    <w:p>
      <w:pPr>
        <w:pStyle w:val="Heading2"/>
      </w:pPr>
      <w:r>
        <w:rPr>
          <w:rFonts w:ascii="Arial" w:hAnsi="Arial" w:eastAsia="Arial"/>
        </w:rPr>
        <w:t>2.7 Scenario packages from the repository</w:t>
      </w:r>
    </w:p>
    <w:p>
      <w:r>
        <w:rPr>
          <w:rFonts w:ascii="Arial" w:hAnsi="Arial" w:eastAsia="Arial"/>
          <w:sz w:val="22"/>
        </w:rPr>
        <w:t>The GitHub repository also contains scenario ZIP packages that should be treated as functional test/demo coverage. These scenarios indicate the main business cases the module must eventually support.</w:t>
      </w:r>
    </w:p>
    <w:tbl>
      <w:tblPr>
        <w:tblStyle w:val="TableGrid"/>
        <w:tblW w:type="auto" w:w="0"/>
        <w:jc w:val="center"/>
        <w:tblLayout w:type="autofit"/>
        <w:tblLook w:firstColumn="1" w:firstRow="1" w:lastColumn="0" w:lastRow="0" w:noHBand="0" w:noVBand="1" w:val="04A0"/>
      </w:tblPr>
      <w:tblGrid>
        <w:gridCol w:w="3346"/>
        <w:gridCol w:w="3346"/>
        <w:gridCol w:w="3346"/>
      </w:tblGrid>
      <w:tr>
        <w:tc>
          <w:tcPr>
            <w:tcW w:type="dxa" w:w="3346"/>
            <w:vAlign w:val="top"/>
            <w:tcMar>
              <w:top w:w="80" w:type="dxa"/>
              <w:start w:w="80" w:type="dxa"/>
              <w:bottom w:w="80" w:type="dxa"/>
              <w:end w:w="80" w:type="dxa"/>
            </w:tcMar>
            <w:shd w:fill="046A38"/>
          </w:tcPr>
          <w:p>
            <w:pPr>
              <w:spacing w:after="40"/>
            </w:pPr>
            <w:r>
              <w:rPr>
                <w:rFonts w:ascii="Arial" w:hAnsi="Arial" w:eastAsia="Arial"/>
                <w:b/>
                <w:color w:val="FFFFFF"/>
                <w:sz w:val="22"/>
              </w:rPr>
            </w:r>
            <w:r>
              <w:rPr>
                <w:rFonts w:ascii="Arial" w:hAnsi="Arial" w:eastAsia="Arial"/>
                <w:b/>
                <w:color w:val="FFFFFF"/>
                <w:sz w:val="22"/>
              </w:rPr>
              <w:t>Scenario package</w:t>
            </w:r>
          </w:p>
        </w:tc>
        <w:tc>
          <w:tcPr>
            <w:tcW w:type="dxa" w:w="3346"/>
            <w:vAlign w:val="top"/>
            <w:tcMar>
              <w:top w:w="80" w:type="dxa"/>
              <w:start w:w="80" w:type="dxa"/>
              <w:bottom w:w="80" w:type="dxa"/>
              <w:end w:w="80" w:type="dxa"/>
            </w:tcMar>
            <w:shd w:fill="046A38"/>
          </w:tcPr>
          <w:p>
            <w:pPr>
              <w:spacing w:after="40"/>
            </w:pPr>
            <w:r>
              <w:rPr>
                <w:rFonts w:ascii="Arial" w:hAnsi="Arial" w:eastAsia="Arial"/>
                <w:b/>
                <w:color w:val="FFFFFF"/>
                <w:sz w:val="22"/>
              </w:rPr>
            </w:r>
            <w:r>
              <w:rPr>
                <w:rFonts w:ascii="Arial" w:hAnsi="Arial" w:eastAsia="Arial"/>
                <w:b/>
                <w:color w:val="FFFFFF"/>
                <w:sz w:val="22"/>
              </w:rPr>
              <w:t>Functional meaning</w:t>
            </w:r>
          </w:p>
        </w:tc>
        <w:tc>
          <w:tcPr>
            <w:tcW w:type="dxa" w:w="3346"/>
            <w:vAlign w:val="top"/>
            <w:tcMar>
              <w:top w:w="80" w:type="dxa"/>
              <w:start w:w="80" w:type="dxa"/>
              <w:bottom w:w="80" w:type="dxa"/>
              <w:end w:w="80" w:type="dxa"/>
            </w:tcMar>
            <w:shd w:fill="046A38"/>
          </w:tcPr>
          <w:p>
            <w:pPr>
              <w:spacing w:after="40"/>
            </w:pPr>
            <w:r>
              <w:rPr>
                <w:rFonts w:ascii="Arial" w:hAnsi="Arial" w:eastAsia="Arial"/>
                <w:b/>
                <w:color w:val="FFFFFF"/>
                <w:sz w:val="22"/>
              </w:rPr>
            </w:r>
            <w:r>
              <w:rPr>
                <w:rFonts w:ascii="Arial" w:hAnsi="Arial" w:eastAsia="Arial"/>
                <w:b/>
                <w:color w:val="FFFFFF"/>
                <w:sz w:val="22"/>
              </w:rPr>
              <w:t>Expected target flow</w:t>
            </w:r>
          </w:p>
        </w:tc>
      </w:tr>
      <w:tr>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Inslag 796.6 als gevolg van een overbrenging</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Entry caused by transfer/movement.</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Incoming -&gt; Entry/Inslag document.</w:t>
            </w:r>
          </w:p>
        </w:tc>
      </w:tr>
      <w:tr>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Invoer 796.5 + ICL of ICT</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Import 796.5 combined with intracommunity delivery/transfer context.</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Incoming context + later Exit support package.</w:t>
            </w:r>
          </w:p>
        </w:tc>
      </w:tr>
      <w:tr>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Invoer 796.5 + lokale levering</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Import 796.5 combined with local delivery.</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Incoming context with local-delivery rules to be validated.</w:t>
            </w:r>
          </w:p>
        </w:tc>
      </w:tr>
      <w:tr>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Uitslag 796.6 als gevolg van een ICL</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Exit caused by intracommunity supply.</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Outgoing -&gt; Exit package with VIES/destination evidence.</w:t>
            </w:r>
          </w:p>
        </w:tc>
      </w:tr>
      <w:tr>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Uitslag 796.6 als gevolg van een ICT</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Exit caused by intracommunity transfer.</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Outgoing -&gt; Exit package with transfer evidence.</w:t>
            </w:r>
          </w:p>
        </w:tc>
      </w:tr>
      <w:tr>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Uitslag 796.6 als gevolg van een lokale levering</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Exit caused by local delivery.</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Outgoing -&gt; Exit package; VAT note/rule applicability reviewer-confirmed.</w:t>
            </w:r>
          </w:p>
        </w:tc>
      </w:tr>
      <w:tr>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Uitslag 796.6 als gevolg van een uitvoer</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Exit caused by export outside the EU.</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Outgoing -&gt; Exit package with export documentation.</w:t>
            </w:r>
          </w:p>
        </w:tc>
      </w:tr>
    </w:tbl>
    <w:p>
      <w:pPr>
        <w:pStyle w:val="Heading1"/>
      </w:pPr>
      <w:r>
        <w:rPr>
          <w:rFonts w:ascii="Arial" w:hAnsi="Arial" w:eastAsia="Arial"/>
        </w:rPr>
        <w:t>3. Functional processing mechanism: how the system decides, routes and generates</w:t>
      </w:r>
    </w:p>
    <w:p>
      <w:r>
        <w:rPr>
          <w:rFonts w:ascii="Arial" w:hAnsi="Arial" w:eastAsia="Arial"/>
          <w:sz w:val="22"/>
        </w:rPr>
        <w:t>This section explains the mechanism behind the processing flow. The platform does not magically “know” what a document is. It uses a controlled chain of intake, file separation, classification signals, extraction, validation, routing rules, reviewer approval and audit logging.</w:t>
      </w:r>
    </w:p>
    <w:p>
      <w:pPr>
        <w:pStyle w:val="Heading2"/>
      </w:pPr>
      <w:r>
        <w:rPr>
          <w:rFonts w:ascii="Arial" w:hAnsi="Arial" w:eastAsia="Arial"/>
        </w:rPr>
        <w:t>3.1 End-to-end overview</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vAlign w:val="top"/>
            <w:tcMar>
              <w:top w:w="80" w:type="dxa"/>
              <w:start w:w="80" w:type="dxa"/>
              <w:bottom w:w="80" w:type="dxa"/>
              <w:end w:w="80" w:type="dxa"/>
            </w:tcMar>
            <w:shd w:fill="046A38"/>
          </w:tcPr>
          <w:p>
            <w:pPr>
              <w:spacing w:after="40"/>
            </w:pPr>
            <w:r>
              <w:rPr>
                <w:rFonts w:ascii="Arial" w:hAnsi="Arial" w:eastAsia="Arial"/>
                <w:b/>
                <w:color w:val="FFFFFF"/>
                <w:sz w:val="22"/>
              </w:rPr>
            </w:r>
            <w:r>
              <w:rPr>
                <w:rFonts w:ascii="Arial" w:hAnsi="Arial" w:eastAsia="Arial"/>
                <w:b/>
                <w:color w:val="FFFFFF"/>
                <w:sz w:val="22"/>
              </w:rPr>
              <w:t>Step</w:t>
            </w:r>
          </w:p>
        </w:tc>
        <w:tc>
          <w:tcPr>
            <w:tcW w:type="dxa" w:w="2509"/>
            <w:vAlign w:val="top"/>
            <w:tcMar>
              <w:top w:w="80" w:type="dxa"/>
              <w:start w:w="80" w:type="dxa"/>
              <w:bottom w:w="80" w:type="dxa"/>
              <w:end w:w="80" w:type="dxa"/>
            </w:tcMar>
            <w:shd w:fill="046A38"/>
          </w:tcPr>
          <w:p>
            <w:pPr>
              <w:spacing w:after="40"/>
            </w:pPr>
            <w:r>
              <w:rPr>
                <w:rFonts w:ascii="Arial" w:hAnsi="Arial" w:eastAsia="Arial"/>
                <w:b/>
                <w:color w:val="FFFFFF"/>
                <w:sz w:val="22"/>
              </w:rPr>
            </w:r>
            <w:r>
              <w:rPr>
                <w:rFonts w:ascii="Arial" w:hAnsi="Arial" w:eastAsia="Arial"/>
                <w:b/>
                <w:color w:val="FFFFFF"/>
                <w:sz w:val="22"/>
              </w:rPr>
              <w:t>What happens</w:t>
            </w:r>
          </w:p>
        </w:tc>
        <w:tc>
          <w:tcPr>
            <w:tcW w:type="dxa" w:w="2509"/>
            <w:vAlign w:val="top"/>
            <w:tcMar>
              <w:top w:w="80" w:type="dxa"/>
              <w:start w:w="80" w:type="dxa"/>
              <w:bottom w:w="80" w:type="dxa"/>
              <w:end w:w="80" w:type="dxa"/>
            </w:tcMar>
            <w:shd w:fill="046A38"/>
          </w:tcPr>
          <w:p>
            <w:pPr>
              <w:spacing w:after="40"/>
            </w:pPr>
            <w:r>
              <w:rPr>
                <w:rFonts w:ascii="Arial" w:hAnsi="Arial" w:eastAsia="Arial"/>
                <w:b/>
                <w:color w:val="FFFFFF"/>
                <w:sz w:val="22"/>
              </w:rPr>
            </w:r>
            <w:r>
              <w:rPr>
                <w:rFonts w:ascii="Arial" w:hAnsi="Arial" w:eastAsia="Arial"/>
                <w:b/>
                <w:color w:val="FFFFFF"/>
                <w:sz w:val="22"/>
              </w:rPr>
              <w:t>What the system uses</w:t>
            </w:r>
          </w:p>
        </w:tc>
        <w:tc>
          <w:tcPr>
            <w:tcW w:type="dxa" w:w="2509"/>
            <w:vAlign w:val="top"/>
            <w:tcMar>
              <w:top w:w="80" w:type="dxa"/>
              <w:start w:w="80" w:type="dxa"/>
              <w:bottom w:w="80" w:type="dxa"/>
              <w:end w:w="80" w:type="dxa"/>
            </w:tcMar>
            <w:shd w:fill="046A38"/>
          </w:tcPr>
          <w:p>
            <w:pPr>
              <w:spacing w:after="40"/>
            </w:pPr>
            <w:r>
              <w:rPr>
                <w:rFonts w:ascii="Arial" w:hAnsi="Arial" w:eastAsia="Arial"/>
                <w:b/>
                <w:color w:val="FFFFFF"/>
                <w:sz w:val="22"/>
              </w:rPr>
            </w:r>
            <w:r>
              <w:rPr>
                <w:rFonts w:ascii="Arial" w:hAnsi="Arial" w:eastAsia="Arial"/>
                <w:b/>
                <w:color w:val="FFFFFF"/>
                <w:sz w:val="22"/>
              </w:rPr>
              <w:t>Result</w:t>
            </w:r>
          </w:p>
        </w:tc>
      </w:tr>
      <w:tr>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1. Intake</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Documents enter Odoo through manual upload today. Future state also supports email inbox/alias and Documents folder intake.</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Attachment metadata, sender, subject, file name, file type, email body, dossier context.</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A new intake batch or VAT warehouse document record is created.</w:t>
            </w:r>
          </w:p>
        </w:tc>
      </w:tr>
      <w:tr>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2. File separation</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The system separates the package into individual document candidates.</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Each attachment, PDF page ranges if multiple documents are combined, filenames, first-page text, barcode/reference patterns.</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One document candidate per source document, with the original file preserved.</w:t>
            </w:r>
          </w:p>
        </w:tc>
      </w:tr>
      <w:tr>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3. Classification</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Each candidate is classified as incoming 796.6, supplier invoice, transfer document, sales invoice, outgoing 796.6, or unknown.</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Filename hints, OCR text, layout fingerprint, known mapping templates, mandatory field patterns, partner/layout history.</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Document type + direction + confidence score. Unknown/low confidence goes to review.</w:t>
            </w:r>
          </w:p>
        </w:tc>
      </w:tr>
      <w:tr>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4. Routing</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The document type and direction determine the flow.</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Classification result, import/export wording, invoice direction, partner roles, references and reviewer input.</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Incoming documents route to Entry flow. Outgoing triggers route to Exit package.</w:t>
            </w:r>
          </w:p>
        </w:tc>
      </w:tr>
      <w:tr>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5. Extraction</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Relevant fields are read from the document or linked Odoo record.</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Native invoice OCR for real invoices; custom/corporate extraction bridge for 796.6 and transfer documents; mapping templates; manual fallback.</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Raw field values, normalized values, confidence per field, possible warnings.</w:t>
            </w:r>
          </w:p>
        </w:tc>
      </w:tr>
      <w:tr>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6. Validation</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The system checks completeness, format, consistency and risk flags.</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Required fields, VAT number format, VIES outcome, commodity code presence, weights/volumes, dates, partner match, duplicate detection.</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Either ready for reviewer approval or placed in needs_review/error state.</w:t>
            </w:r>
          </w:p>
        </w:tc>
      </w:tr>
      <w:tr>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7. Output generation</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The platform prepares/generates the Entry or Exit package as PDFs.</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Validated data, linked records, QWeb templates, versioning logic.</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Draft/generated PDF attachments linked to the dossier.</w:t>
            </w:r>
          </w:p>
        </w:tc>
      </w:tr>
      <w:tr>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8. Human approval</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The reviewer approves or corrects the generated documents and checks.</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Review screen, source file preview, extracted fields, warnings, generated PDFs.</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Finalized document package with audit trail.</w:t>
            </w:r>
          </w:p>
        </w:tc>
      </w:tr>
    </w:tbl>
    <w:p>
      <w:pPr>
        <w:pStyle w:val="Heading2"/>
      </w:pPr>
      <w:r>
        <w:rPr>
          <w:rFonts w:ascii="Arial" w:hAnsi="Arial" w:eastAsia="Arial"/>
        </w:rPr>
        <w:t>3.2 Intake and future email ingestion</w:t>
      </w:r>
    </w:p>
    <w:p>
      <w:r>
        <w:rPr>
          <w:rFonts w:ascii="Arial" w:hAnsi="Arial" w:eastAsia="Arial"/>
          <w:sz w:val="22"/>
        </w:rPr>
        <w:t>Phase 0 starts with manual upload because it is the simplest and safest way to prove the process. The future-state intake can accept documents by email alias or a monitored Documents folder. In that case, the email itself becomes the intake batch: the system stores the sender, recipients, subject, email date, body snippet and attachments.</w:t>
      </w:r>
    </w:p>
    <w:p>
      <w:r>
        <w:rPr>
          <w:rFonts w:ascii="Arial" w:hAnsi="Arial" w:eastAsia="Arial"/>
          <w:sz w:val="22"/>
        </w:rPr>
        <w:t>The important functional rule is that intake does not decide the final document type. Intake only creates the candidates and preserves the evidence. Classification and routing happen in the next steps.</w:t>
      </w:r>
    </w:p>
    <w:p>
      <w:pPr>
        <w:pStyle w:val="ListBullet"/>
        <w:spacing w:after="60"/>
      </w:pPr>
      <w:r>
        <w:rPr>
          <w:rFonts w:ascii="Arial" w:hAnsi="Arial" w:eastAsia="Arial"/>
          <w:sz w:val="22"/>
        </w:rPr>
        <w:t>Manual upload: user creates a VAT Warehouse intake/document record and adds one or more files.</w:t>
      </w:r>
    </w:p>
    <w:p>
      <w:pPr>
        <w:pStyle w:val="ListBullet"/>
        <w:spacing w:after="60"/>
      </w:pPr>
      <w:r>
        <w:rPr>
          <w:rFonts w:ascii="Arial" w:hAnsi="Arial" w:eastAsia="Arial"/>
          <w:sz w:val="22"/>
        </w:rPr>
        <w:t>Future email intake: one email can contain multiple attachments; each attachment becomes a document candidate under the same dossier/batch.</w:t>
      </w:r>
    </w:p>
    <w:p>
      <w:pPr>
        <w:pStyle w:val="ListBullet"/>
        <w:spacing w:after="60"/>
      </w:pPr>
      <w:r>
        <w:rPr>
          <w:rFonts w:ascii="Arial" w:hAnsi="Arial" w:eastAsia="Arial"/>
          <w:sz w:val="22"/>
        </w:rPr>
        <w:t>Future Documents folder intake: documents dropped in a folder can trigger the same candidate creation logic.</w:t>
      </w:r>
    </w:p>
    <w:p>
      <w:pPr>
        <w:pStyle w:val="Heading2"/>
      </w:pPr>
      <w:r>
        <w:rPr>
          <w:rFonts w:ascii="Arial" w:hAnsi="Arial" w:eastAsia="Arial"/>
        </w:rPr>
        <w:t>3.3 File separation: how one package becomes separate candidates</w:t>
      </w:r>
    </w:p>
    <w:tbl>
      <w:tblPr>
        <w:tblStyle w:val="TableGrid"/>
        <w:tblW w:type="auto" w:w="0"/>
        <w:jc w:val="center"/>
        <w:tblLayout w:type="autofit"/>
        <w:tblLook w:firstColumn="1" w:firstRow="1" w:lastColumn="0" w:lastRow="0" w:noHBand="0" w:noVBand="1" w:val="04A0"/>
      </w:tblPr>
      <w:tblGrid>
        <w:gridCol w:w="3346"/>
        <w:gridCol w:w="3346"/>
        <w:gridCol w:w="3346"/>
      </w:tblGrid>
      <w:tr>
        <w:tc>
          <w:tcPr>
            <w:tcW w:type="dxa" w:w="3346"/>
            <w:vAlign w:val="top"/>
            <w:tcMar>
              <w:top w:w="80" w:type="dxa"/>
              <w:start w:w="80" w:type="dxa"/>
              <w:bottom w:w="80" w:type="dxa"/>
              <w:end w:w="80" w:type="dxa"/>
            </w:tcMar>
            <w:shd w:fill="046A38"/>
          </w:tcPr>
          <w:p>
            <w:pPr>
              <w:spacing w:after="40"/>
            </w:pPr>
            <w:r>
              <w:rPr>
                <w:rFonts w:ascii="Arial" w:hAnsi="Arial" w:eastAsia="Arial"/>
                <w:b/>
                <w:color w:val="FFFFFF"/>
                <w:sz w:val="22"/>
              </w:rPr>
            </w:r>
            <w:r>
              <w:rPr>
                <w:rFonts w:ascii="Arial" w:hAnsi="Arial" w:eastAsia="Arial"/>
                <w:b/>
                <w:color w:val="FFFFFF"/>
                <w:sz w:val="22"/>
              </w:rPr>
              <w:t>Situation</w:t>
            </w:r>
          </w:p>
        </w:tc>
        <w:tc>
          <w:tcPr>
            <w:tcW w:type="dxa" w:w="3346"/>
            <w:vAlign w:val="top"/>
            <w:tcMar>
              <w:top w:w="80" w:type="dxa"/>
              <w:start w:w="80" w:type="dxa"/>
              <w:bottom w:w="80" w:type="dxa"/>
              <w:end w:w="80" w:type="dxa"/>
            </w:tcMar>
            <w:shd w:fill="046A38"/>
          </w:tcPr>
          <w:p>
            <w:pPr>
              <w:spacing w:after="40"/>
            </w:pPr>
            <w:r>
              <w:rPr>
                <w:rFonts w:ascii="Arial" w:hAnsi="Arial" w:eastAsia="Arial"/>
                <w:b/>
                <w:color w:val="FFFFFF"/>
                <w:sz w:val="22"/>
              </w:rPr>
            </w:r>
            <w:r>
              <w:rPr>
                <w:rFonts w:ascii="Arial" w:hAnsi="Arial" w:eastAsia="Arial"/>
                <w:b/>
                <w:color w:val="FFFFFF"/>
                <w:sz w:val="22"/>
              </w:rPr>
              <w:t>Separation mechanism</w:t>
            </w:r>
          </w:p>
        </w:tc>
        <w:tc>
          <w:tcPr>
            <w:tcW w:type="dxa" w:w="3346"/>
            <w:vAlign w:val="top"/>
            <w:tcMar>
              <w:top w:w="80" w:type="dxa"/>
              <w:start w:w="80" w:type="dxa"/>
              <w:bottom w:w="80" w:type="dxa"/>
              <w:end w:w="80" w:type="dxa"/>
            </w:tcMar>
            <w:shd w:fill="046A38"/>
          </w:tcPr>
          <w:p>
            <w:pPr>
              <w:spacing w:after="40"/>
            </w:pPr>
            <w:r>
              <w:rPr>
                <w:rFonts w:ascii="Arial" w:hAnsi="Arial" w:eastAsia="Arial"/>
                <w:b/>
                <w:color w:val="FFFFFF"/>
                <w:sz w:val="22"/>
              </w:rPr>
            </w:r>
            <w:r>
              <w:rPr>
                <w:rFonts w:ascii="Arial" w:hAnsi="Arial" w:eastAsia="Arial"/>
                <w:b/>
                <w:color w:val="FFFFFF"/>
                <w:sz w:val="22"/>
              </w:rPr>
              <w:t>Reviewer fallback</w:t>
            </w:r>
          </w:p>
        </w:tc>
      </w:tr>
      <w:tr>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Multiple email attachments</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Each attachment becomes one document candidate. The original email remains linked to all candidates.</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Reviewer can merge or delete candidates if an attachment was irrelevant.</w:t>
            </w:r>
          </w:p>
        </w:tc>
      </w:tr>
      <w:tr>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One PDF containing multiple documents</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System checks page text, headings, barcodes, document labels and repeated page structures to propose page ranges.</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Reviewer confirms or adjusts the split before processing.</w:t>
            </w:r>
          </w:p>
        </w:tc>
      </w:tr>
      <w:tr>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ZIP package or scanned bundle</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System creates one candidate per contained file, keeps the original ZIP if required, and logs the extraction.</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Reviewer validates that all expected files were extracted.</w:t>
            </w:r>
          </w:p>
        </w:tc>
      </w:tr>
      <w:tr>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Unclear or unreadable file</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Candidate is created as Unknown / needs review.</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Reviewer manually assigns type or marks as out of scope.</w:t>
            </w:r>
          </w:p>
        </w:tc>
      </w:tr>
    </w:tbl>
    <w:p>
      <w:pPr>
        <w:pStyle w:val="Heading2"/>
      </w:pPr>
      <w:r>
        <w:rPr>
          <w:rFonts w:ascii="Arial" w:hAnsi="Arial" w:eastAsia="Arial"/>
        </w:rPr>
        <w:t>3.4 Classification: why the system knows which document this is</w:t>
      </w:r>
    </w:p>
    <w:p>
      <w:r>
        <w:rPr>
          <w:rFonts w:ascii="Arial" w:hAnsi="Arial" w:eastAsia="Arial"/>
          <w:sz w:val="22"/>
        </w:rPr>
        <w:t>Classification is a scored decision, not one single OCR guess. The system collects signals and assigns a document type only when the evidence is strong enough. If the score is below threshold, the document is routed to human review.</w:t>
      </w:r>
    </w:p>
    <w:tbl>
      <w:tblPr>
        <w:tblStyle w:val="TableGrid"/>
        <w:tblW w:type="auto" w:w="0"/>
        <w:jc w:val="center"/>
        <w:tblLayout w:type="autofit"/>
        <w:tblLook w:firstColumn="1" w:firstRow="1" w:lastColumn="0" w:lastRow="0" w:noHBand="0" w:noVBand="1" w:val="04A0"/>
      </w:tblPr>
      <w:tblGrid>
        <w:gridCol w:w="3346"/>
        <w:gridCol w:w="3346"/>
        <w:gridCol w:w="3346"/>
      </w:tblGrid>
      <w:tr>
        <w:tc>
          <w:tcPr>
            <w:tcW w:type="dxa" w:w="3346"/>
            <w:vAlign w:val="top"/>
            <w:tcMar>
              <w:top w:w="80" w:type="dxa"/>
              <w:start w:w="80" w:type="dxa"/>
              <w:bottom w:w="80" w:type="dxa"/>
              <w:end w:w="80" w:type="dxa"/>
            </w:tcMar>
            <w:shd w:fill="046A38"/>
          </w:tcPr>
          <w:p>
            <w:pPr>
              <w:spacing w:after="40"/>
            </w:pPr>
            <w:r>
              <w:rPr>
                <w:rFonts w:ascii="Arial" w:hAnsi="Arial" w:eastAsia="Arial"/>
                <w:b/>
                <w:color w:val="FFFFFF"/>
                <w:sz w:val="22"/>
              </w:rPr>
            </w:r>
            <w:r>
              <w:rPr>
                <w:rFonts w:ascii="Arial" w:hAnsi="Arial" w:eastAsia="Arial"/>
                <w:b/>
                <w:color w:val="FFFFFF"/>
                <w:sz w:val="22"/>
              </w:rPr>
              <w:t>Signal category</w:t>
            </w:r>
          </w:p>
        </w:tc>
        <w:tc>
          <w:tcPr>
            <w:tcW w:type="dxa" w:w="3346"/>
            <w:vAlign w:val="top"/>
            <w:tcMar>
              <w:top w:w="80" w:type="dxa"/>
              <w:start w:w="80" w:type="dxa"/>
              <w:bottom w:w="80" w:type="dxa"/>
              <w:end w:w="80" w:type="dxa"/>
            </w:tcMar>
            <w:shd w:fill="046A38"/>
          </w:tcPr>
          <w:p>
            <w:pPr>
              <w:spacing w:after="40"/>
            </w:pPr>
            <w:r>
              <w:rPr>
                <w:rFonts w:ascii="Arial" w:hAnsi="Arial" w:eastAsia="Arial"/>
                <w:b/>
                <w:color w:val="FFFFFF"/>
                <w:sz w:val="22"/>
              </w:rPr>
            </w:r>
            <w:r>
              <w:rPr>
                <w:rFonts w:ascii="Arial" w:hAnsi="Arial" w:eastAsia="Arial"/>
                <w:b/>
                <w:color w:val="FFFFFF"/>
                <w:sz w:val="22"/>
              </w:rPr>
              <w:t>Examples of signals</w:t>
            </w:r>
          </w:p>
        </w:tc>
        <w:tc>
          <w:tcPr>
            <w:tcW w:type="dxa" w:w="3346"/>
            <w:vAlign w:val="top"/>
            <w:tcMar>
              <w:top w:w="80" w:type="dxa"/>
              <w:start w:w="80" w:type="dxa"/>
              <w:bottom w:w="80" w:type="dxa"/>
              <w:end w:w="80" w:type="dxa"/>
            </w:tcMar>
            <w:shd w:fill="046A38"/>
          </w:tcPr>
          <w:p>
            <w:pPr>
              <w:spacing w:after="40"/>
            </w:pPr>
            <w:r>
              <w:rPr>
                <w:rFonts w:ascii="Arial" w:hAnsi="Arial" w:eastAsia="Arial"/>
                <w:b/>
                <w:color w:val="FFFFFF"/>
                <w:sz w:val="22"/>
              </w:rPr>
            </w:r>
            <w:r>
              <w:rPr>
                <w:rFonts w:ascii="Arial" w:hAnsi="Arial" w:eastAsia="Arial"/>
                <w:b/>
                <w:color w:val="FFFFFF"/>
                <w:sz w:val="22"/>
              </w:rPr>
              <w:t>How it affects classification</w:t>
            </w:r>
          </w:p>
        </w:tc>
      </w:tr>
      <w:tr>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Filename and email context</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“796.6”, “invoer”, “uitvoer”, “invoice”, “factuur”, “transfer”, supplier/customer name, email subject, sender domain.</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Fast first-pass hint. Never enough on its own for final classification.</w:t>
            </w:r>
          </w:p>
        </w:tc>
      </w:tr>
      <w:tr>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First-page OCR text</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Document title, labels such as Douane Invoerdocument, Entry Document, Exit Document, VAT Warehouse, invoice number, total amount, customs reference.</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Strong signal for document type and direction.</w:t>
            </w:r>
          </w:p>
        </w:tc>
      </w:tr>
      <w:tr>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Mandatory field patterns</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Invoice total + invoice number + VAT number; customs reference + commodity code + gross weight; sender/receiver + transfer reference.</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If the expected field pattern is present, confidence increases.</w:t>
            </w:r>
          </w:p>
        </w:tc>
      </w:tr>
      <w:tr>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Layout fingerprint</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Stable structure, page zones, labels, recurring positions, previous mapping for same client/party.</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Used to recognize known layouts and apply stored mapping.</w:t>
            </w:r>
          </w:p>
        </w:tc>
      </w:tr>
      <w:tr>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Odoo master data match</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Supplier/customer VAT number matches res.partner, invoice reference matches account.move, picking reference matches stock.picking.</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Confirms the candidate belongs to a known partner or dossier.</w:t>
            </w:r>
          </w:p>
        </w:tc>
      </w:tr>
      <w:tr>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Human correction history</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Previous documents from the same client/layout were confirmed as 796.6 import, transfer, etc.</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Increases confidence for future documents with same fingerprint.</w:t>
            </w:r>
          </w:p>
        </w:tc>
      </w:tr>
    </w:tbl>
    <w:tbl>
      <w:tblPr>
        <w:tblW w:type="auto" w:w="0"/>
        <w:tblLook w:firstColumn="1" w:firstRow="1" w:lastColumn="0" w:lastRow="0" w:noHBand="0" w:noVBand="1" w:val="04A0"/>
      </w:tblPr>
      <w:tblGrid>
        <w:gridCol w:w="10037"/>
      </w:tblGrid>
      <w:tr>
        <w:tc>
          <w:tcPr>
            <w:tcW w:type="dxa" w:w="10037"/>
            <w:shd w:fill="EAF3DA"/>
            <w:tcMar>
              <w:top w:w="130" w:type="dxa"/>
              <w:start w:w="150" w:type="dxa"/>
              <w:bottom w:w="130" w:type="dxa"/>
              <w:end w:w="150" w:type="dxa"/>
            </w:tcMar>
          </w:tcPr>
          <w:p>
            <w:pPr>
              <w:spacing w:after="40"/>
            </w:pPr>
            <w:r>
              <w:rPr>
                <w:rFonts w:ascii="Arial" w:hAnsi="Arial"/>
                <w:b/>
                <w:sz w:val="22"/>
              </w:rPr>
              <w:t>Functional answer to “why does OCR know?”</w:t>
            </w:r>
          </w:p>
          <w:p>
            <w:pPr>
              <w:spacing w:after="0"/>
            </w:pPr>
            <w:r>
              <w:rPr>
                <w:rFonts w:ascii="Arial" w:hAnsi="Arial"/>
                <w:sz w:val="22"/>
              </w:rPr>
              <w:t>The OCR/extraction layer reads text and visual/structural cues. The classification engine then compares those cues against expected patterns and known mappings. The result is a document type with a confidence score. The system only routes automatically above threshold; otherwise a reviewer confirms the type.</w:t>
            </w:r>
          </w:p>
        </w:tc>
      </w:tr>
    </w:tbl>
    <w:p/>
    <w:p>
      <w:pPr>
        <w:pStyle w:val="Heading2"/>
      </w:pPr>
      <w:r>
        <w:rPr>
          <w:rFonts w:ascii="Arial" w:hAnsi="Arial" w:eastAsia="Arial"/>
        </w:rPr>
        <w:t>3.5 Routing logic: how classification sends a document to the right flow</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vAlign w:val="top"/>
            <w:tcMar>
              <w:top w:w="80" w:type="dxa"/>
              <w:start w:w="80" w:type="dxa"/>
              <w:bottom w:w="80" w:type="dxa"/>
              <w:end w:w="80" w:type="dxa"/>
            </w:tcMar>
            <w:shd w:fill="046A38"/>
          </w:tcPr>
          <w:p>
            <w:pPr>
              <w:spacing w:after="40"/>
            </w:pPr>
            <w:r>
              <w:rPr>
                <w:rFonts w:ascii="Arial" w:hAnsi="Arial" w:eastAsia="Arial"/>
                <w:b/>
                <w:color w:val="FFFFFF"/>
                <w:sz w:val="22"/>
              </w:rPr>
            </w:r>
            <w:r>
              <w:rPr>
                <w:rFonts w:ascii="Arial" w:hAnsi="Arial" w:eastAsia="Arial"/>
                <w:b/>
                <w:color w:val="FFFFFF"/>
                <w:sz w:val="22"/>
              </w:rPr>
              <w:t>Classified document type</w:t>
            </w:r>
          </w:p>
        </w:tc>
        <w:tc>
          <w:tcPr>
            <w:tcW w:type="dxa" w:w="2509"/>
            <w:vAlign w:val="top"/>
            <w:tcMar>
              <w:top w:w="80" w:type="dxa"/>
              <w:start w:w="80" w:type="dxa"/>
              <w:bottom w:w="80" w:type="dxa"/>
              <w:end w:w="80" w:type="dxa"/>
            </w:tcMar>
            <w:shd w:fill="046A38"/>
          </w:tcPr>
          <w:p>
            <w:pPr>
              <w:spacing w:after="40"/>
            </w:pPr>
            <w:r>
              <w:rPr>
                <w:rFonts w:ascii="Arial" w:hAnsi="Arial" w:eastAsia="Arial"/>
                <w:b/>
                <w:color w:val="FFFFFF"/>
                <w:sz w:val="22"/>
              </w:rPr>
            </w:r>
            <w:r>
              <w:rPr>
                <w:rFonts w:ascii="Arial" w:hAnsi="Arial" w:eastAsia="Arial"/>
                <w:b/>
                <w:color w:val="FFFFFF"/>
                <w:sz w:val="22"/>
              </w:rPr>
              <w:t>Direction</w:t>
            </w:r>
          </w:p>
        </w:tc>
        <w:tc>
          <w:tcPr>
            <w:tcW w:type="dxa" w:w="2509"/>
            <w:vAlign w:val="top"/>
            <w:tcMar>
              <w:top w:w="80" w:type="dxa"/>
              <w:start w:w="80" w:type="dxa"/>
              <w:bottom w:w="80" w:type="dxa"/>
              <w:end w:w="80" w:type="dxa"/>
            </w:tcMar>
            <w:shd w:fill="046A38"/>
          </w:tcPr>
          <w:p>
            <w:pPr>
              <w:spacing w:after="40"/>
            </w:pPr>
            <w:r>
              <w:rPr>
                <w:rFonts w:ascii="Arial" w:hAnsi="Arial" w:eastAsia="Arial"/>
                <w:b/>
                <w:color w:val="FFFFFF"/>
                <w:sz w:val="22"/>
              </w:rPr>
            </w:r>
            <w:r>
              <w:rPr>
                <w:rFonts w:ascii="Arial" w:hAnsi="Arial" w:eastAsia="Arial"/>
                <w:b/>
                <w:color w:val="FFFFFF"/>
                <w:sz w:val="22"/>
              </w:rPr>
              <w:t>Target flow</w:t>
            </w:r>
          </w:p>
        </w:tc>
        <w:tc>
          <w:tcPr>
            <w:tcW w:type="dxa" w:w="2509"/>
            <w:vAlign w:val="top"/>
            <w:tcMar>
              <w:top w:w="80" w:type="dxa"/>
              <w:start w:w="80" w:type="dxa"/>
              <w:bottom w:w="80" w:type="dxa"/>
              <w:end w:w="80" w:type="dxa"/>
            </w:tcMar>
            <w:shd w:fill="046A38"/>
          </w:tcPr>
          <w:p>
            <w:pPr>
              <w:spacing w:after="40"/>
            </w:pPr>
            <w:r>
              <w:rPr>
                <w:rFonts w:ascii="Arial" w:hAnsi="Arial" w:eastAsia="Arial"/>
                <w:b/>
                <w:color w:val="FFFFFF"/>
                <w:sz w:val="22"/>
              </w:rPr>
            </w:r>
            <w:r>
              <w:rPr>
                <w:rFonts w:ascii="Arial" w:hAnsi="Arial" w:eastAsia="Arial"/>
                <w:b/>
                <w:color w:val="FFFFFF"/>
                <w:sz w:val="22"/>
              </w:rPr>
              <w:t>Routing rule</w:t>
            </w:r>
          </w:p>
        </w:tc>
      </w:tr>
      <w:tr>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Customs Import Document 796.6</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Incoming</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Entry/Inslag flow</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Create/update draft Entry Document and map customs/goods fields.</w:t>
            </w:r>
          </w:p>
        </w:tc>
      </w:tr>
      <w:tr>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Supplier invoice / purchase invoice</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Incoming</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Entry/Inslag flow</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Create or link account.move; use native invoice OCR where available; copy confirmed commercial fields to the Entry dossier.</w:t>
            </w:r>
          </w:p>
        </w:tc>
      </w:tr>
      <w:tr>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Incoming transfer document</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Incoming</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Entry/Inslag flow</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Create/update draft Entry Document using transfer reference, sender/receiver and goods fields.</w:t>
            </w:r>
          </w:p>
        </w:tc>
      </w:tr>
      <w:tr>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Sales invoice</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Outgoing</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Exit/Uitslag flow</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Link to account.move; read customer, VAT number, destination and lines; propose matching Entry Document.</w:t>
            </w:r>
          </w:p>
        </w:tc>
      </w:tr>
      <w:tr>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Customs Export Document 796.6</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Outgoing</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Exit/Uitslag flow</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Create/update draft Exit Document and map customs export/goods fields.</w:t>
            </w:r>
          </w:p>
        </w:tc>
      </w:tr>
      <w:tr>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Outgoing transfer document</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Outgoing</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Exit/Uitslag flow</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Create/update draft Exit Document based on transfer reference and movement details.</w:t>
            </w:r>
          </w:p>
        </w:tc>
      </w:tr>
      <w:tr>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Unknown or low confidence</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Not decided</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Manual review</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Reviewer assigns document type and direction; the system learns the confirmed mapping for future documents.</w:t>
            </w:r>
          </w:p>
        </w:tc>
      </w:tr>
    </w:tbl>
    <w:p>
      <w:pPr>
        <w:pStyle w:val="Heading2"/>
      </w:pPr>
      <w:r>
        <w:rPr>
          <w:rFonts w:ascii="Arial" w:hAnsi="Arial" w:eastAsia="Arial"/>
        </w:rPr>
        <w:t>3.6 Extraction: what is read and how values become usable fields</w:t>
      </w:r>
    </w:p>
    <w:p>
      <w:r>
        <w:rPr>
          <w:rFonts w:ascii="Arial" w:hAnsi="Arial" w:eastAsia="Arial"/>
          <w:sz w:val="22"/>
        </w:rPr>
        <w:t>The extraction step does two things. First it captures raw values exactly as found on the document. Then it normalizes them into Odoo-ready values: dates become date fields, weights and volumes become numeric values, VAT numbers are cleaned, partners are matched, and goods lines are structured. The raw value is never deleted; it remains available for audit and correction.</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vAlign w:val="top"/>
            <w:tcMar>
              <w:top w:w="80" w:type="dxa"/>
              <w:start w:w="80" w:type="dxa"/>
              <w:bottom w:w="80" w:type="dxa"/>
              <w:end w:w="80" w:type="dxa"/>
            </w:tcMar>
            <w:shd w:fill="046A38"/>
          </w:tcPr>
          <w:p>
            <w:pPr>
              <w:spacing w:after="40"/>
            </w:pPr>
            <w:r>
              <w:rPr>
                <w:rFonts w:ascii="Arial" w:hAnsi="Arial" w:eastAsia="Arial"/>
                <w:b/>
                <w:color w:val="FFFFFF"/>
                <w:sz w:val="22"/>
              </w:rPr>
            </w:r>
            <w:r>
              <w:rPr>
                <w:rFonts w:ascii="Arial" w:hAnsi="Arial" w:eastAsia="Arial"/>
                <w:b/>
                <w:color w:val="FFFFFF"/>
                <w:sz w:val="22"/>
              </w:rPr>
              <w:t>Document type</w:t>
            </w:r>
          </w:p>
        </w:tc>
        <w:tc>
          <w:tcPr>
            <w:tcW w:type="dxa" w:w="2509"/>
            <w:vAlign w:val="top"/>
            <w:tcMar>
              <w:top w:w="80" w:type="dxa"/>
              <w:start w:w="80" w:type="dxa"/>
              <w:bottom w:w="80" w:type="dxa"/>
              <w:end w:w="80" w:type="dxa"/>
            </w:tcMar>
            <w:shd w:fill="046A38"/>
          </w:tcPr>
          <w:p>
            <w:pPr>
              <w:spacing w:after="40"/>
            </w:pPr>
            <w:r>
              <w:rPr>
                <w:rFonts w:ascii="Arial" w:hAnsi="Arial" w:eastAsia="Arial"/>
                <w:b/>
                <w:color w:val="FFFFFF"/>
                <w:sz w:val="22"/>
              </w:rPr>
            </w:r>
            <w:r>
              <w:rPr>
                <w:rFonts w:ascii="Arial" w:hAnsi="Arial" w:eastAsia="Arial"/>
                <w:b/>
                <w:color w:val="FFFFFF"/>
                <w:sz w:val="22"/>
              </w:rPr>
              <w:t>Extraction source</w:t>
            </w:r>
          </w:p>
        </w:tc>
        <w:tc>
          <w:tcPr>
            <w:tcW w:type="dxa" w:w="2509"/>
            <w:vAlign w:val="top"/>
            <w:tcMar>
              <w:top w:w="80" w:type="dxa"/>
              <w:start w:w="80" w:type="dxa"/>
              <w:bottom w:w="80" w:type="dxa"/>
              <w:end w:w="80" w:type="dxa"/>
            </w:tcMar>
            <w:shd w:fill="046A38"/>
          </w:tcPr>
          <w:p>
            <w:pPr>
              <w:spacing w:after="40"/>
            </w:pPr>
            <w:r>
              <w:rPr>
                <w:rFonts w:ascii="Arial" w:hAnsi="Arial" w:eastAsia="Arial"/>
                <w:b/>
                <w:color w:val="FFFFFF"/>
                <w:sz w:val="22"/>
              </w:rPr>
            </w:r>
            <w:r>
              <w:rPr>
                <w:rFonts w:ascii="Arial" w:hAnsi="Arial" w:eastAsia="Arial"/>
                <w:b/>
                <w:color w:val="FFFFFF"/>
                <w:sz w:val="22"/>
              </w:rPr>
              <w:t>Core fields</w:t>
            </w:r>
          </w:p>
        </w:tc>
        <w:tc>
          <w:tcPr>
            <w:tcW w:type="dxa" w:w="2509"/>
            <w:vAlign w:val="top"/>
            <w:tcMar>
              <w:top w:w="80" w:type="dxa"/>
              <w:start w:w="80" w:type="dxa"/>
              <w:bottom w:w="80" w:type="dxa"/>
              <w:end w:w="80" w:type="dxa"/>
            </w:tcMar>
            <w:shd w:fill="046A38"/>
          </w:tcPr>
          <w:p>
            <w:pPr>
              <w:spacing w:after="40"/>
            </w:pPr>
            <w:r>
              <w:rPr>
                <w:rFonts w:ascii="Arial" w:hAnsi="Arial" w:eastAsia="Arial"/>
                <w:b/>
                <w:color w:val="FFFFFF"/>
                <w:sz w:val="22"/>
              </w:rPr>
            </w:r>
            <w:r>
              <w:rPr>
                <w:rFonts w:ascii="Arial" w:hAnsi="Arial" w:eastAsia="Arial"/>
                <w:b/>
                <w:color w:val="FFFFFF"/>
                <w:sz w:val="22"/>
              </w:rPr>
              <w:t>Special handling</w:t>
            </w:r>
          </w:p>
        </w:tc>
      </w:tr>
      <w:tr>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Invoices</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Native Odoo invoice OCR on account.move or existing account.move data</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Supplier/customer, invoice number/date, VAT number, totals, line descriptions.</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Only actual invoices use invoice OCR. 796.6 documents are never sent as fake invoices.</w:t>
            </w:r>
          </w:p>
        </w:tc>
      </w:tr>
      <w:tr>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796.6 customs documents</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Custom/corporate extraction bridge + mapping template</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Customs reference, file number, commodity code, goods description, gross weight, volume, origin, destination, VAT warehouse/global number.</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Layout is taught once per client/layout; low confidence fields go to review.</w:t>
            </w:r>
          </w:p>
        </w:tc>
      </w:tr>
      <w:tr>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Transfer documents</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Custom/corporate extraction bridge or regex/template engine</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Reference, sender/receiver, date, goods, quantities, weight/volume, related references.</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Mapping depends on client-specific document layout.</w:t>
            </w:r>
          </w:p>
        </w:tc>
      </w:tr>
      <w:tr>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Manual fallback</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Reviewer completes fields in Odoo</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All required fields for Entry/Exit flow.</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Used when extraction fails, scan is unreadable or classification is uncertain.</w:t>
            </w:r>
          </w:p>
        </w:tc>
      </w:tr>
    </w:tbl>
    <w:p>
      <w:pPr>
        <w:pStyle w:val="Heading2"/>
      </w:pPr>
      <w:r>
        <w:rPr>
          <w:rFonts w:ascii="Arial" w:hAnsi="Arial" w:eastAsia="Arial"/>
        </w:rPr>
        <w:t>3.7 Mapping memory: how “taught once per client/layout” works</w:t>
      </w:r>
    </w:p>
    <w:p>
      <w:pPr>
        <w:pStyle w:val="ListBullet"/>
        <w:spacing w:after="60"/>
      </w:pPr>
      <w:r>
        <w:rPr>
          <w:rFonts w:ascii="Arial" w:hAnsi="Arial" w:eastAsia="Arial"/>
          <w:sz w:val="22"/>
        </w:rPr>
        <w:t>When a new layout is detected, the document enters needs_review.</w:t>
      </w:r>
    </w:p>
    <w:p>
      <w:pPr>
        <w:pStyle w:val="ListBullet"/>
        <w:spacing w:after="60"/>
      </w:pPr>
      <w:r>
        <w:rPr>
          <w:rFonts w:ascii="Arial" w:hAnsi="Arial" w:eastAsia="Arial"/>
          <w:sz w:val="22"/>
        </w:rPr>
        <w:t>The reviewer confirms which extracted text belongs to which target field, for example Customs reference -&gt; Entry source reference or Gross weight -&gt; Goods line weight.</w:t>
      </w:r>
    </w:p>
    <w:p>
      <w:pPr>
        <w:pStyle w:val="ListBullet"/>
        <w:spacing w:after="60"/>
      </w:pPr>
      <w:r>
        <w:rPr>
          <w:rFonts w:ascii="Arial" w:hAnsi="Arial" w:eastAsia="Arial"/>
          <w:sz w:val="22"/>
        </w:rPr>
        <w:t>The system stores the confirmed mapping as vat.warehouse.ocr.mapping with document type, partner/client, layout fingerprint, version and confidence threshold.</w:t>
      </w:r>
    </w:p>
    <w:p>
      <w:pPr>
        <w:pStyle w:val="ListBullet"/>
        <w:spacing w:after="60"/>
      </w:pPr>
      <w:r>
        <w:rPr>
          <w:rFonts w:ascii="Arial" w:hAnsi="Arial" w:eastAsia="Arial"/>
          <w:sz w:val="22"/>
        </w:rPr>
        <w:t>For the next document with the same layout fingerprint, the system applies the mapping automatically and only asks for review if confidence or validation checks fail.</w:t>
      </w:r>
    </w:p>
    <w:p>
      <w:pPr>
        <w:pStyle w:val="ListBullet"/>
        <w:spacing w:after="60"/>
      </w:pPr>
      <w:r>
        <w:rPr>
          <w:rFonts w:ascii="Arial" w:hAnsi="Arial" w:eastAsia="Arial"/>
          <w:sz w:val="22"/>
        </w:rPr>
        <w:t>If a mapping changes, the system creates a new version and can reprocess draft/open documents without overwriting audit history.</w:t>
      </w:r>
    </w:p>
    <w:p>
      <w:pPr>
        <w:pStyle w:val="Heading2"/>
      </w:pPr>
      <w:r>
        <w:rPr>
          <w:rFonts w:ascii="Arial" w:hAnsi="Arial" w:eastAsia="Arial"/>
        </w:rPr>
        <w:t>3.8 Validation checks before generation</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vAlign w:val="top"/>
            <w:tcMar>
              <w:top w:w="80" w:type="dxa"/>
              <w:start w:w="80" w:type="dxa"/>
              <w:bottom w:w="80" w:type="dxa"/>
              <w:end w:w="80" w:type="dxa"/>
            </w:tcMar>
            <w:shd w:fill="046A38"/>
          </w:tcPr>
          <w:p>
            <w:pPr>
              <w:spacing w:after="40"/>
            </w:pPr>
            <w:r>
              <w:rPr>
                <w:rFonts w:ascii="Arial" w:hAnsi="Arial" w:eastAsia="Arial"/>
                <w:b/>
                <w:color w:val="FFFFFF"/>
                <w:sz w:val="22"/>
              </w:rPr>
            </w:r>
            <w:r>
              <w:rPr>
                <w:rFonts w:ascii="Arial" w:hAnsi="Arial" w:eastAsia="Arial"/>
                <w:b/>
                <w:color w:val="FFFFFF"/>
                <w:sz w:val="22"/>
              </w:rPr>
              <w:t>Check category</w:t>
            </w:r>
          </w:p>
        </w:tc>
        <w:tc>
          <w:tcPr>
            <w:tcW w:type="dxa" w:w="2509"/>
            <w:vAlign w:val="top"/>
            <w:tcMar>
              <w:top w:w="80" w:type="dxa"/>
              <w:start w:w="80" w:type="dxa"/>
              <w:bottom w:w="80" w:type="dxa"/>
              <w:end w:w="80" w:type="dxa"/>
            </w:tcMar>
            <w:shd w:fill="046A38"/>
          </w:tcPr>
          <w:p>
            <w:pPr>
              <w:spacing w:after="40"/>
            </w:pPr>
            <w:r>
              <w:rPr>
                <w:rFonts w:ascii="Arial" w:hAnsi="Arial" w:eastAsia="Arial"/>
                <w:b/>
                <w:color w:val="FFFFFF"/>
                <w:sz w:val="22"/>
              </w:rPr>
            </w:r>
            <w:r>
              <w:rPr>
                <w:rFonts w:ascii="Arial" w:hAnsi="Arial" w:eastAsia="Arial"/>
                <w:b/>
                <w:color w:val="FFFFFF"/>
                <w:sz w:val="22"/>
              </w:rPr>
              <w:t>Examples</w:t>
            </w:r>
          </w:p>
        </w:tc>
        <w:tc>
          <w:tcPr>
            <w:tcW w:type="dxa" w:w="2509"/>
            <w:vAlign w:val="top"/>
            <w:tcMar>
              <w:top w:w="80" w:type="dxa"/>
              <w:start w:w="80" w:type="dxa"/>
              <w:bottom w:w="80" w:type="dxa"/>
              <w:end w:w="80" w:type="dxa"/>
            </w:tcMar>
            <w:shd w:fill="046A38"/>
          </w:tcPr>
          <w:p>
            <w:pPr>
              <w:spacing w:after="40"/>
            </w:pPr>
            <w:r>
              <w:rPr>
                <w:rFonts w:ascii="Arial" w:hAnsi="Arial" w:eastAsia="Arial"/>
                <w:b/>
                <w:color w:val="FFFFFF"/>
                <w:sz w:val="22"/>
              </w:rPr>
            </w:r>
            <w:r>
              <w:rPr>
                <w:rFonts w:ascii="Arial" w:hAnsi="Arial" w:eastAsia="Arial"/>
                <w:b/>
                <w:color w:val="FFFFFF"/>
                <w:sz w:val="22"/>
              </w:rPr>
              <w:t>Failure result</w:t>
            </w:r>
          </w:p>
        </w:tc>
        <w:tc>
          <w:tcPr>
            <w:tcW w:type="dxa" w:w="2509"/>
            <w:vAlign w:val="top"/>
            <w:tcMar>
              <w:top w:w="80" w:type="dxa"/>
              <w:start w:w="80" w:type="dxa"/>
              <w:bottom w:w="80" w:type="dxa"/>
              <w:end w:w="80" w:type="dxa"/>
            </w:tcMar>
            <w:shd w:fill="046A38"/>
          </w:tcPr>
          <w:p>
            <w:pPr>
              <w:spacing w:after="40"/>
            </w:pPr>
            <w:r>
              <w:rPr>
                <w:rFonts w:ascii="Arial" w:hAnsi="Arial" w:eastAsia="Arial"/>
                <w:b/>
                <w:color w:val="FFFFFF"/>
                <w:sz w:val="22"/>
              </w:rPr>
            </w:r>
            <w:r>
              <w:rPr>
                <w:rFonts w:ascii="Arial" w:hAnsi="Arial" w:eastAsia="Arial"/>
                <w:b/>
                <w:color w:val="FFFFFF"/>
                <w:sz w:val="22"/>
              </w:rPr>
              <w:t>Reviewer action</w:t>
            </w:r>
          </w:p>
        </w:tc>
      </w:tr>
      <w:tr>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Completeness</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Required reference, document date, partner, VAT number when applicable, goods lines, commodity code, weight/volume.</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needs_review</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Complete or confirm missing value is acceptable.</w:t>
            </w:r>
          </w:p>
        </w:tc>
      </w:tr>
      <w:tr>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Format</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Date format, VAT number format, numeric weight/volume, country codes.</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needs_review or error</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Correct value or mark exception.</w:t>
            </w:r>
          </w:p>
        </w:tc>
      </w:tr>
      <w:tr>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Consistency</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Invoice goods match customs goods, same partner/VAT number, weight/volume not inconsistent, outgoing goods link to prior entry.</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needs_review</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Confirm mismatch explanation or correct mapping.</w:t>
            </w:r>
          </w:p>
        </w:tc>
      </w:tr>
      <w:tr>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Duplicate detection</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Same customs reference, same invoice reference, same file number already processed.</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warning or blocked</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Confirm duplicate or link to existing dossier.</w:t>
            </w:r>
          </w:p>
        </w:tc>
      </w:tr>
      <w:tr>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VIES/VAT</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VAT number exists, format is valid, VIES service result available if relevant.</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needs_review</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Approve pass/fail/unavailable handling.</w:t>
            </w:r>
          </w:p>
        </w:tc>
      </w:tr>
    </w:tbl>
    <w:p>
      <w:pPr>
        <w:pStyle w:val="Heading2"/>
      </w:pPr>
      <w:r>
        <w:rPr>
          <w:rFonts w:ascii="Arial" w:hAnsi="Arial" w:eastAsia="Arial"/>
        </w:rPr>
        <w:t>3.9 VAT and VIES checks in the Exit package</w:t>
      </w:r>
    </w:p>
    <w:p>
      <w:r>
        <w:rPr>
          <w:rFonts w:ascii="Arial" w:hAnsi="Arial" w:eastAsia="Arial"/>
          <w:sz w:val="22"/>
        </w:rPr>
        <w:t>The VAT/VIES mechanism is not only a real-time check. For this process it also creates audit evidence. The module therefore uses Odoo VAT/VIES functionality as a base signal, but stores a dedicated vat.warehouse.vies.check record for every dossier where a VAT number check is relevant or performed.</w:t>
      </w:r>
    </w:p>
    <w:p>
      <w:pPr>
        <w:pStyle w:val="ListBullet"/>
        <w:spacing w:after="60"/>
      </w:pPr>
      <w:r>
        <w:rPr>
          <w:rFonts w:ascii="Arial" w:hAnsi="Arial" w:eastAsia="Arial"/>
          <w:sz w:val="22"/>
        </w:rPr>
        <w:t>Input: customer partner, VAT number, country, outgoing trigger document, Exit Document and scenario context.</w:t>
      </w:r>
    </w:p>
    <w:p>
      <w:pPr>
        <w:pStyle w:val="ListBullet"/>
        <w:spacing w:after="60"/>
      </w:pPr>
      <w:r>
        <w:rPr>
          <w:rFonts w:ascii="Arial" w:hAnsi="Arial" w:eastAsia="Arial"/>
          <w:sz w:val="22"/>
        </w:rPr>
        <w:t>System action: clean and validate VAT number format, call/use available VAT/VIES validation function, store result, timestamp, source and response status.</w:t>
      </w:r>
    </w:p>
    <w:p>
      <w:pPr>
        <w:pStyle w:val="ListBullet"/>
        <w:spacing w:after="60"/>
      </w:pPr>
      <w:r>
        <w:rPr>
          <w:rFonts w:ascii="Arial" w:hAnsi="Arial" w:eastAsia="Arial"/>
          <w:sz w:val="22"/>
        </w:rPr>
        <w:t>Output: VIES check record and proof PDF attached to the Exit dossier.</w:t>
      </w:r>
    </w:p>
    <w:p>
      <w:pPr>
        <w:pStyle w:val="ListBullet"/>
        <w:spacing w:after="60"/>
      </w:pPr>
      <w:r>
        <w:rPr>
          <w:rFonts w:ascii="Arial" w:hAnsi="Arial" w:eastAsia="Arial"/>
          <w:sz w:val="22"/>
        </w:rPr>
        <w:t>Human control: invalid VAT number, service unavailable, missing VAT number or conflicting partner data always blocks automatic finalization and requires reviewer decision.</w:t>
      </w:r>
    </w:p>
    <w:p>
      <w:pPr>
        <w:pStyle w:val="Heading2"/>
      </w:pPr>
      <w:r>
        <w:rPr>
          <w:rFonts w:ascii="Arial" w:hAnsi="Arial" w:eastAsia="Arial"/>
        </w:rPr>
        <w:t>3.10 Output package generation and human approval</w:t>
      </w:r>
    </w:p>
    <w:p>
      <w:r>
        <w:rPr>
          <w:rFonts w:ascii="Arial" w:hAnsi="Arial" w:eastAsia="Arial"/>
          <w:sz w:val="22"/>
        </w:rPr>
        <w:t>For the outgoing flow, the platform prepares the full Exit package: Exit Document, VIES Check evidence, Bestemmingsdocument and BTW Nota. The package can be generated in draft form from the available data, but final approval remains with the reviewer. This satisfies the requirement that all documents are available while keeping fiscal responsibility with the human specialist.</w:t>
      </w:r>
    </w:p>
    <w:tbl>
      <w:tblPr>
        <w:tblStyle w:val="TableGrid"/>
        <w:tblW w:type="auto" w:w="0"/>
        <w:jc w:val="center"/>
        <w:tblLayout w:type="autofit"/>
        <w:tblLook w:firstColumn="1" w:firstRow="1" w:lastColumn="0" w:lastRow="0" w:noHBand="0" w:noVBand="1" w:val="04A0"/>
      </w:tblPr>
      <w:tblGrid>
        <w:gridCol w:w="3346"/>
        <w:gridCol w:w="3346"/>
        <w:gridCol w:w="3346"/>
      </w:tblGrid>
      <w:tr>
        <w:tc>
          <w:tcPr>
            <w:tcW w:type="dxa" w:w="3346"/>
            <w:vAlign w:val="top"/>
            <w:tcMar>
              <w:top w:w="80" w:type="dxa"/>
              <w:start w:w="80" w:type="dxa"/>
              <w:bottom w:w="80" w:type="dxa"/>
              <w:end w:w="80" w:type="dxa"/>
            </w:tcMar>
            <w:shd w:fill="046A38"/>
          </w:tcPr>
          <w:p>
            <w:pPr>
              <w:spacing w:after="40"/>
            </w:pPr>
            <w:r>
              <w:rPr>
                <w:rFonts w:ascii="Arial" w:hAnsi="Arial" w:eastAsia="Arial"/>
                <w:b/>
                <w:color w:val="FFFFFF"/>
                <w:sz w:val="22"/>
              </w:rPr>
            </w:r>
            <w:r>
              <w:rPr>
                <w:rFonts w:ascii="Arial" w:hAnsi="Arial" w:eastAsia="Arial"/>
                <w:b/>
                <w:color w:val="FFFFFF"/>
                <w:sz w:val="22"/>
              </w:rPr>
              <w:t>Generated item</w:t>
            </w:r>
          </w:p>
        </w:tc>
        <w:tc>
          <w:tcPr>
            <w:tcW w:type="dxa" w:w="3346"/>
            <w:vAlign w:val="top"/>
            <w:tcMar>
              <w:top w:w="80" w:type="dxa"/>
              <w:start w:w="80" w:type="dxa"/>
              <w:bottom w:w="80" w:type="dxa"/>
              <w:end w:w="80" w:type="dxa"/>
            </w:tcMar>
            <w:shd w:fill="046A38"/>
          </w:tcPr>
          <w:p>
            <w:pPr>
              <w:spacing w:after="40"/>
            </w:pPr>
            <w:r>
              <w:rPr>
                <w:rFonts w:ascii="Arial" w:hAnsi="Arial" w:eastAsia="Arial"/>
                <w:b/>
                <w:color w:val="FFFFFF"/>
                <w:sz w:val="22"/>
              </w:rPr>
            </w:r>
            <w:r>
              <w:rPr>
                <w:rFonts w:ascii="Arial" w:hAnsi="Arial" w:eastAsia="Arial"/>
                <w:b/>
                <w:color w:val="FFFFFF"/>
                <w:sz w:val="22"/>
              </w:rPr>
              <w:t>How it is created</w:t>
            </w:r>
          </w:p>
        </w:tc>
        <w:tc>
          <w:tcPr>
            <w:tcW w:type="dxa" w:w="3346"/>
            <w:vAlign w:val="top"/>
            <w:tcMar>
              <w:top w:w="80" w:type="dxa"/>
              <w:start w:w="80" w:type="dxa"/>
              <w:bottom w:w="80" w:type="dxa"/>
              <w:end w:w="80" w:type="dxa"/>
            </w:tcMar>
            <w:shd w:fill="046A38"/>
          </w:tcPr>
          <w:p>
            <w:pPr>
              <w:spacing w:after="40"/>
            </w:pPr>
            <w:r>
              <w:rPr>
                <w:rFonts w:ascii="Arial" w:hAnsi="Arial" w:eastAsia="Arial"/>
                <w:b/>
                <w:color w:val="FFFFFF"/>
                <w:sz w:val="22"/>
              </w:rPr>
            </w:r>
            <w:r>
              <w:rPr>
                <w:rFonts w:ascii="Arial" w:hAnsi="Arial" w:eastAsia="Arial"/>
                <w:b/>
                <w:color w:val="FFFFFF"/>
                <w:sz w:val="22"/>
              </w:rPr>
              <w:t>Approval behavior</w:t>
            </w:r>
          </w:p>
        </w:tc>
      </w:tr>
      <w:tr>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Entry Document</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QWeb PDF from validated incoming fields and goods lines.</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Reviewer validates incoming fields before final document version.</w:t>
            </w:r>
          </w:p>
        </w:tc>
      </w:tr>
      <w:tr>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Exit Document</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QWeb PDF from outgoing trigger, linked Entry Document and goods lines.</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Reviewer validates link to Entry and outgoing goods details.</w:t>
            </w:r>
          </w:p>
        </w:tc>
      </w:tr>
      <w:tr>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VIES proof</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VAT/VIES check record plus QWeb proof PDF.</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Reviewer confirms pass/fail/unavailable status and evidence.</w:t>
            </w:r>
          </w:p>
        </w:tc>
      </w:tr>
      <w:tr>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Bestemmingsdocument</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QWeb PDF from Exit dossier and destination fields.</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Reviewer confirms whether it is applicable and approves content.</w:t>
            </w:r>
          </w:p>
        </w:tc>
      </w:tr>
      <w:tr>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BTW Nota</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QWeb PDF from Exit dossier and tax-rule placeholder.</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Reviewer confirms applicability and approves content.</w:t>
            </w:r>
          </w:p>
        </w:tc>
      </w:tr>
    </w:tbl>
    <w:p>
      <w:pPr>
        <w:pStyle w:val="Heading2"/>
      </w:pPr>
      <w:r>
        <w:rPr>
          <w:rFonts w:ascii="Arial" w:hAnsi="Arial" w:eastAsia="Arial"/>
        </w:rPr>
        <w:t>3.11 Exception handling and audit trail</w:t>
      </w:r>
    </w:p>
    <w:p>
      <w:r>
        <w:rPr>
          <w:rFonts w:ascii="Arial" w:hAnsi="Arial" w:eastAsia="Arial"/>
          <w:sz w:val="22"/>
        </w:rPr>
        <w:t>Every important decision must be visible in the dossier. The system writes a chatter/activity log entry for intake, classification, extraction, mapping applied, manual correction, validation, VIES check, PDF generation, approval and errors. Exceptions never disappear; they are converted into review tasks or error states.</w:t>
      </w:r>
    </w:p>
    <w:p>
      <w:pPr>
        <w:pStyle w:val="ListBullet"/>
        <w:spacing w:after="60"/>
      </w:pPr>
      <w:r>
        <w:rPr>
          <w:rFonts w:ascii="Arial" w:hAnsi="Arial" w:eastAsia="Arial"/>
          <w:sz w:val="22"/>
        </w:rPr>
        <w:t>Low classification confidence -&gt; reviewer assigns document type.</w:t>
      </w:r>
    </w:p>
    <w:p>
      <w:pPr>
        <w:pStyle w:val="ListBullet"/>
        <w:spacing w:after="60"/>
      </w:pPr>
      <w:r>
        <w:rPr>
          <w:rFonts w:ascii="Arial" w:hAnsi="Arial" w:eastAsia="Arial"/>
          <w:sz w:val="22"/>
        </w:rPr>
        <w:t>Low field confidence -&gt; reviewer validates or corrects the field.</w:t>
      </w:r>
    </w:p>
    <w:p>
      <w:pPr>
        <w:pStyle w:val="ListBullet"/>
        <w:spacing w:after="60"/>
      </w:pPr>
      <w:r>
        <w:rPr>
          <w:rFonts w:ascii="Arial" w:hAnsi="Arial" w:eastAsia="Arial"/>
          <w:sz w:val="22"/>
        </w:rPr>
        <w:t>Unknown layout -&gt; reviewer creates or selects a mapping template.</w:t>
      </w:r>
    </w:p>
    <w:p>
      <w:pPr>
        <w:pStyle w:val="ListBullet"/>
        <w:spacing w:after="60"/>
      </w:pPr>
      <w:r>
        <w:rPr>
          <w:rFonts w:ascii="Arial" w:hAnsi="Arial" w:eastAsia="Arial"/>
          <w:sz w:val="22"/>
        </w:rPr>
        <w:t>VIES invalid/unavailable -&gt; reviewer decides whether to stop, retry or document exception.</w:t>
      </w:r>
    </w:p>
    <w:p>
      <w:pPr>
        <w:pStyle w:val="ListBullet"/>
        <w:spacing w:after="60"/>
      </w:pPr>
      <w:r>
        <w:rPr>
          <w:rFonts w:ascii="Arial" w:hAnsi="Arial" w:eastAsia="Arial"/>
          <w:sz w:val="22"/>
        </w:rPr>
        <w:t>Missing Entry link for Exit -&gt; reviewer links correct Entry Document or creates exception note.</w:t>
      </w:r>
    </w:p>
    <w:p>
      <w:pPr>
        <w:pStyle w:val="ListBullet"/>
        <w:spacing w:after="60"/>
      </w:pPr>
      <w:r>
        <w:rPr>
          <w:rFonts w:ascii="Arial" w:hAnsi="Arial" w:eastAsia="Arial"/>
          <w:sz w:val="22"/>
        </w:rPr>
        <w:t>Regenerated PDF -&gt; new version is created; old version remains attached.</w:t>
      </w:r>
    </w:p>
    <w:p>
      <w:pPr>
        <w:pStyle w:val="Heading1"/>
      </w:pPr>
      <w:r>
        <w:rPr>
          <w:rFonts w:ascii="Arial" w:hAnsi="Arial" w:eastAsia="Arial"/>
        </w:rPr>
        <w:t>4. Reuse decision matrix</w:t>
      </w:r>
    </w:p>
    <w:p>
      <w:r>
        <w:rPr>
          <w:rFonts w:ascii="Arial" w:hAnsi="Arial" w:eastAsia="Arial"/>
          <w:sz w:val="22"/>
        </w:rPr>
        <w:t>This section keeps the original reuse decisions but formats them in a readable portrait layout. The key rule is: reuse Odoo where it fits the document type; do not force custom VAT warehouse documents into invoice OCR.</w:t>
      </w:r>
    </w:p>
    <w:tbl>
      <w:tblPr>
        <w:tblStyle w:val="TableGrid"/>
        <w:tblW w:type="auto" w:w="0"/>
        <w:jc w:val="center"/>
        <w:tblLayout w:type="autofit"/>
        <w:tblLook w:firstColumn="1" w:firstRow="1" w:lastColumn="0" w:lastRow="0" w:noHBand="0" w:noVBand="1" w:val="04A0"/>
      </w:tblPr>
      <w:tblGrid>
        <w:gridCol w:w="3346"/>
        <w:gridCol w:w="3346"/>
        <w:gridCol w:w="3346"/>
      </w:tblGrid>
      <w:tr>
        <w:tc>
          <w:tcPr>
            <w:tcW w:type="dxa" w:w="3346"/>
            <w:vAlign w:val="top"/>
            <w:tcMar>
              <w:top w:w="80" w:type="dxa"/>
              <w:start w:w="80" w:type="dxa"/>
              <w:bottom w:w="80" w:type="dxa"/>
              <w:end w:w="80" w:type="dxa"/>
            </w:tcMar>
            <w:shd w:fill="046A38"/>
          </w:tcPr>
          <w:p>
            <w:pPr>
              <w:spacing w:after="40"/>
            </w:pPr>
            <w:r>
              <w:rPr>
                <w:rFonts w:ascii="Arial" w:hAnsi="Arial" w:eastAsia="Arial"/>
                <w:b/>
                <w:color w:val="FFFFFF"/>
                <w:sz w:val="22"/>
              </w:rPr>
            </w:r>
            <w:r>
              <w:rPr>
                <w:rFonts w:ascii="Arial" w:hAnsi="Arial" w:eastAsia="Arial"/>
                <w:b/>
                <w:color w:val="FFFFFF"/>
                <w:sz w:val="22"/>
              </w:rPr>
              <w:t>Component</w:t>
            </w:r>
          </w:p>
        </w:tc>
        <w:tc>
          <w:tcPr>
            <w:tcW w:type="dxa" w:w="3346"/>
            <w:vAlign w:val="top"/>
            <w:tcMar>
              <w:top w:w="80" w:type="dxa"/>
              <w:start w:w="80" w:type="dxa"/>
              <w:bottom w:w="80" w:type="dxa"/>
              <w:end w:w="80" w:type="dxa"/>
            </w:tcMar>
            <w:shd w:fill="046A38"/>
          </w:tcPr>
          <w:p>
            <w:pPr>
              <w:spacing w:after="40"/>
            </w:pPr>
            <w:r>
              <w:rPr>
                <w:rFonts w:ascii="Arial" w:hAnsi="Arial" w:eastAsia="Arial"/>
                <w:b/>
                <w:color w:val="FFFFFF"/>
                <w:sz w:val="22"/>
              </w:rPr>
            </w:r>
            <w:r>
              <w:rPr>
                <w:rFonts w:ascii="Arial" w:hAnsi="Arial" w:eastAsia="Arial"/>
                <w:b/>
                <w:color w:val="FFFFFF"/>
                <w:sz w:val="22"/>
              </w:rPr>
              <w:t>Decision</w:t>
            </w:r>
          </w:p>
        </w:tc>
        <w:tc>
          <w:tcPr>
            <w:tcW w:type="dxa" w:w="3346"/>
            <w:vAlign w:val="top"/>
            <w:tcMar>
              <w:top w:w="80" w:type="dxa"/>
              <w:start w:w="80" w:type="dxa"/>
              <w:bottom w:w="80" w:type="dxa"/>
              <w:end w:w="80" w:type="dxa"/>
            </w:tcMar>
            <w:shd w:fill="046A38"/>
          </w:tcPr>
          <w:p>
            <w:pPr>
              <w:spacing w:after="40"/>
            </w:pPr>
            <w:r>
              <w:rPr>
                <w:rFonts w:ascii="Arial" w:hAnsi="Arial" w:eastAsia="Arial"/>
                <w:b/>
                <w:color w:val="FFFFFF"/>
                <w:sz w:val="22"/>
              </w:rPr>
            </w:r>
            <w:r>
              <w:rPr>
                <w:rFonts w:ascii="Arial" w:hAnsi="Arial" w:eastAsia="Arial"/>
                <w:b/>
                <w:color w:val="FFFFFF"/>
                <w:sz w:val="22"/>
              </w:rPr>
              <w:t>Implementation note</w:t>
            </w:r>
          </w:p>
        </w:tc>
      </w:tr>
      <w:tr>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iap_extract / IAP wiring</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Use as reference only</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The Odoo IAP OCR endpoints are fixed per document type. Study the flow pattern, but no Phase 0 dependency is required.</w:t>
            </w:r>
          </w:p>
        </w:tc>
      </w:tr>
      <w:tr>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extract.mixin</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Inherit or copy pattern</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Useful state/upload/webhook/cron pattern. In Phase 0 use own state flow; reassess inheritance for a real engine later.</w:t>
            </w:r>
          </w:p>
        </w:tc>
      </w:tr>
      <w:tr>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extract.mixin.with.words</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Copy pattern later</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Useful only if the extraction engine provides word boxes/coördinates. Store bounding_box_json on field-level extraction records.</w:t>
            </w:r>
          </w:p>
        </w:tc>
      </w:tr>
      <w:tr>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account_invoice_extract</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Reuse directly only for real invoices</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Use account.move and native invoice OCR for supplier/sales invoices. Do not send 796.6 as a fake invoice.</w:t>
            </w:r>
          </w:p>
        </w:tc>
      </w:tr>
      <w:tr>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account_invoice_extract mapping logic</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Use as reference only</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Partner matching ideas are useful, but the code is invoice-specific and layout learning is closed/server-side.</w:t>
            </w:r>
          </w:p>
        </w:tc>
      </w:tr>
      <w:tr>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documents / documents.document</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Extend optionally</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Useful as upload portal and archive in Phase 1+. Not required to prove the Phase 0 flow.</w:t>
            </w:r>
          </w:p>
        </w:tc>
      </w:tr>
      <w:tr>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documents_account</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Copy pattern</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Good example of turning a document into a business record while preserving the link.</w:t>
            </w:r>
          </w:p>
        </w:tc>
      </w:tr>
      <w:tr>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ir.attachment</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Reuse directly</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Store originals and generated PDFs. Never overwrite or mutate the original source document.</w:t>
            </w:r>
          </w:p>
        </w:tc>
      </w:tr>
      <w:tr>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account.move / account.move.line</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Extend / read directly</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Use for invoice-driven flows. Add smart buttons and read invoice lines; do not change core invoice behavior.</w:t>
            </w:r>
          </w:p>
        </w:tc>
      </w:tr>
      <w:tr>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product.product / product.template</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Reuse directly</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Optional master data link for goods lines. Do not require product matching in Phase 0.</w:t>
            </w:r>
          </w:p>
        </w:tc>
      </w:tr>
      <w:tr>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res.partner</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Extend</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Use for supplier, customer, owner of goods and VAT/VIES context. Partner VIES flag is a signal, not dossier evidence.</w:t>
            </w:r>
          </w:p>
        </w:tc>
      </w:tr>
      <w:tr>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base_vat</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Extend</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Use native VAT/VIES validation where possible; store dossier-specific evidence in vat.warehouse.vies.check.</w:t>
            </w:r>
          </w:p>
        </w:tc>
      </w:tr>
      <w:tr>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mail.thread / mail.activity.mixin</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Inherit</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Required for audit trail and review tasks. Message every status transition and important action.</w:t>
            </w:r>
          </w:p>
        </w:tc>
      </w:tr>
      <w:tr>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ir.actions.report / QWeb</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Reuse directly</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One report per generated document; store generated PDFs manually as attachments for version control.</w:t>
            </w:r>
          </w:p>
        </w:tc>
      </w:tr>
      <w:tr>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base.automation / ir.cron</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Reuse sparingly</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Use as thin triggers for batch/status work; keep business logic in model/service methods.</w:t>
            </w:r>
          </w:p>
        </w:tc>
      </w:tr>
      <w:tr>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ai / ai_fields / ai_documents</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Optional bridge/reference</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Can be isolated in an extraction bridge if corporate governance allows. Do not name a specific provider/model in the design.</w:t>
            </w:r>
          </w:p>
        </w:tc>
      </w:tr>
    </w:tbl>
    <w:p>
      <w:pPr>
        <w:pStyle w:val="Heading1"/>
      </w:pPr>
      <w:r>
        <w:rPr>
          <w:rFonts w:ascii="Arial" w:hAnsi="Arial" w:eastAsia="Arial"/>
        </w:rPr>
        <w:t>5. Functional requirements by capability</w:t>
      </w:r>
    </w:p>
    <w:tbl>
      <w:tblPr>
        <w:tblStyle w:val="TableGrid"/>
        <w:tblW w:type="auto" w:w="0"/>
        <w:jc w:val="center"/>
        <w:tblLayout w:type="autofit"/>
        <w:tblLook w:firstColumn="1" w:firstRow="1" w:lastColumn="0" w:lastRow="0" w:noHBand="0" w:noVBand="1" w:val="04A0"/>
      </w:tblPr>
      <w:tblGrid>
        <w:gridCol w:w="3346"/>
        <w:gridCol w:w="3346"/>
        <w:gridCol w:w="3346"/>
      </w:tblGrid>
      <w:tr>
        <w:tc>
          <w:tcPr>
            <w:tcW w:type="dxa" w:w="3346"/>
            <w:vAlign w:val="top"/>
            <w:tcMar>
              <w:top w:w="80" w:type="dxa"/>
              <w:start w:w="80" w:type="dxa"/>
              <w:bottom w:w="80" w:type="dxa"/>
              <w:end w:w="80" w:type="dxa"/>
            </w:tcMar>
            <w:shd w:fill="046A38"/>
          </w:tcPr>
          <w:p>
            <w:pPr>
              <w:spacing w:after="40"/>
            </w:pPr>
            <w:r>
              <w:rPr>
                <w:rFonts w:ascii="Arial" w:hAnsi="Arial" w:eastAsia="Arial"/>
                <w:b/>
                <w:color w:val="FFFFFF"/>
                <w:sz w:val="22"/>
              </w:rPr>
            </w:r>
            <w:r>
              <w:rPr>
                <w:rFonts w:ascii="Arial" w:hAnsi="Arial" w:eastAsia="Arial"/>
                <w:b/>
                <w:color w:val="FFFFFF"/>
                <w:sz w:val="22"/>
              </w:rPr>
              <w:t>Requirement</w:t>
            </w:r>
          </w:p>
        </w:tc>
        <w:tc>
          <w:tcPr>
            <w:tcW w:type="dxa" w:w="3346"/>
            <w:vAlign w:val="top"/>
            <w:tcMar>
              <w:top w:w="80" w:type="dxa"/>
              <w:start w:w="80" w:type="dxa"/>
              <w:bottom w:w="80" w:type="dxa"/>
              <w:end w:w="80" w:type="dxa"/>
            </w:tcMar>
            <w:shd w:fill="046A38"/>
          </w:tcPr>
          <w:p>
            <w:pPr>
              <w:spacing w:after="40"/>
            </w:pPr>
            <w:r>
              <w:rPr>
                <w:rFonts w:ascii="Arial" w:hAnsi="Arial" w:eastAsia="Arial"/>
                <w:b/>
                <w:color w:val="FFFFFF"/>
                <w:sz w:val="22"/>
              </w:rPr>
            </w:r>
            <w:r>
              <w:rPr>
                <w:rFonts w:ascii="Arial" w:hAnsi="Arial" w:eastAsia="Arial"/>
                <w:b/>
                <w:color w:val="FFFFFF"/>
                <w:sz w:val="22"/>
              </w:rPr>
              <w:t>Functional statement</w:t>
            </w:r>
          </w:p>
        </w:tc>
        <w:tc>
          <w:tcPr>
            <w:tcW w:type="dxa" w:w="3346"/>
            <w:vAlign w:val="top"/>
            <w:tcMar>
              <w:top w:w="80" w:type="dxa"/>
              <w:start w:w="80" w:type="dxa"/>
              <w:bottom w:w="80" w:type="dxa"/>
              <w:end w:w="80" w:type="dxa"/>
            </w:tcMar>
            <w:shd w:fill="046A38"/>
          </w:tcPr>
          <w:p>
            <w:pPr>
              <w:spacing w:after="40"/>
            </w:pPr>
            <w:r>
              <w:rPr>
                <w:rFonts w:ascii="Arial" w:hAnsi="Arial" w:eastAsia="Arial"/>
                <w:b/>
                <w:color w:val="FFFFFF"/>
                <w:sz w:val="22"/>
              </w:rPr>
            </w:r>
            <w:r>
              <w:rPr>
                <w:rFonts w:ascii="Arial" w:hAnsi="Arial" w:eastAsia="Arial"/>
                <w:b/>
                <w:color w:val="FFFFFF"/>
                <w:sz w:val="22"/>
              </w:rPr>
              <w:t>Acceptance focus</w:t>
            </w:r>
          </w:p>
        </w:tc>
      </w:tr>
      <w:tr>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FR-01 Intake</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The system shall allow manual upload of one or more VAT warehouse source documents. Future state shall allow email alias/Documents folder intake.</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Original file, upload user, upload time and source channel are stored.</w:t>
            </w:r>
          </w:p>
        </w:tc>
      </w:tr>
      <w:tr>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FR-02 Candidate creation</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The system shall create one document candidate per uploaded file or detected document in a bundle.</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Candidates are linked to the same dossier/batch when they originate from one email/package.</w:t>
            </w:r>
          </w:p>
        </w:tc>
      </w:tr>
      <w:tr>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FR-03 Classification</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The system shall classify each candidate with document type, direction and confidence score.</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Low confidence routes to needs_review.</w:t>
            </w:r>
          </w:p>
        </w:tc>
      </w:tr>
      <w:tr>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FR-04 Routing</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The system shall route incoming documents to Entry flow and outgoing triggers to Exit flow.</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Routing result is visible and editable by authorized reviewer.</w:t>
            </w:r>
          </w:p>
        </w:tc>
      </w:tr>
      <w:tr>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FR-05 Extraction</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The system shall extract raw and normalized fields according to document type.</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Field-level confidence, raw value and corrected value are stored.</w:t>
            </w:r>
          </w:p>
        </w:tc>
      </w:tr>
      <w:tr>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FR-06 Mapping memory</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The system shall store reusable mapping templates per document type, client/party and layout fingerprint.</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A reviewer can save/update mappings after correction.</w:t>
            </w:r>
          </w:p>
        </w:tc>
      </w:tr>
      <w:tr>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FR-07 Review</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The system shall provide a review screen showing source document, extracted fields, warnings and generated outputs.</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Reviewer can correct fields and approve.</w:t>
            </w:r>
          </w:p>
        </w:tc>
      </w:tr>
      <w:tr>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FR-08 Entry generation</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The system shall generate Entry Document PDF from validated incoming data.</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PDF is attached and versioned; chatter entry is created.</w:t>
            </w:r>
          </w:p>
        </w:tc>
      </w:tr>
      <w:tr>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FR-09 Exit package generation</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The system shall generate Exit Document, VIES proof, Bestemmingsdocument and BTW Nota as the outgoing package.</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Documents can be generated as draft and require reviewer approval before finalization.</w:t>
            </w:r>
          </w:p>
        </w:tc>
      </w:tr>
      <w:tr>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FR-10 VIES/VAT evidence</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The system shall perform/store VAT/VIES checks and create a dossier-specific evidence record.</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Invalid/unavailable results create review task.</w:t>
            </w:r>
          </w:p>
        </w:tc>
      </w:tr>
      <w:tr>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FR-11 Audit trail</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The system shall log intake, classification, extraction, correction, validation, generation and approval.</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Chatter/activity log is mandatory on main records.</w:t>
            </w:r>
          </w:p>
        </w:tc>
      </w:tr>
      <w:tr>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FR-12 Exception handling</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The system shall route errors, low confidence, unknown layouts and missing links to reviewer tasks.</w:t>
            </w:r>
          </w:p>
        </w:tc>
        <w:tc>
          <w:tcPr>
            <w:tcW w:type="dxa" w:w="3346"/>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No silent processing failure is allowed.</w:t>
            </w:r>
          </w:p>
        </w:tc>
      </w:tr>
    </w:tbl>
    <w:p>
      <w:pPr>
        <w:pStyle w:val="Heading1"/>
      </w:pPr>
      <w:r>
        <w:rPr>
          <w:rFonts w:ascii="Arial" w:hAnsi="Arial" w:eastAsia="Arial"/>
        </w:rPr>
        <w:t>6. Approval, audit and exception handling</w:t>
      </w:r>
    </w:p>
    <w:p>
      <w:pPr>
        <w:pStyle w:val="Heading2"/>
      </w:pPr>
      <w:r>
        <w:rPr>
          <w:rFonts w:ascii="Arial" w:hAnsi="Arial" w:eastAsia="Arial"/>
        </w:rPr>
        <w:t>6.1 Human confirmation points</w:t>
      </w:r>
    </w:p>
    <w:p>
      <w:pPr>
        <w:pStyle w:val="ListBullet"/>
        <w:spacing w:after="60"/>
      </w:pPr>
      <w:r>
        <w:rPr>
          <w:rFonts w:ascii="Arial" w:hAnsi="Arial" w:eastAsia="Arial"/>
          <w:sz w:val="22"/>
        </w:rPr>
        <w:t>Document type confirmation when confidence is below threshold.</w:t>
      </w:r>
    </w:p>
    <w:p>
      <w:pPr>
        <w:pStyle w:val="ListBullet"/>
        <w:spacing w:after="60"/>
      </w:pPr>
      <w:r>
        <w:rPr>
          <w:rFonts w:ascii="Arial" w:hAnsi="Arial" w:eastAsia="Arial"/>
          <w:sz w:val="22"/>
        </w:rPr>
        <w:t>Field correction when extraction confidence is low or validation fails.</w:t>
      </w:r>
    </w:p>
    <w:p>
      <w:pPr>
        <w:pStyle w:val="ListBullet"/>
        <w:spacing w:after="60"/>
      </w:pPr>
      <w:r>
        <w:rPr>
          <w:rFonts w:ascii="Arial" w:hAnsi="Arial" w:eastAsia="Arial"/>
          <w:sz w:val="22"/>
        </w:rPr>
        <w:t>Mapping template approval when a new layout is created or changed.</w:t>
      </w:r>
    </w:p>
    <w:p>
      <w:pPr>
        <w:pStyle w:val="ListBullet"/>
        <w:spacing w:after="60"/>
      </w:pPr>
      <w:r>
        <w:rPr>
          <w:rFonts w:ascii="Arial" w:hAnsi="Arial" w:eastAsia="Arial"/>
          <w:sz w:val="22"/>
        </w:rPr>
        <w:t>VIES/VAT result approval when invalid, missing or service unavailable.</w:t>
      </w:r>
    </w:p>
    <w:p>
      <w:pPr>
        <w:pStyle w:val="ListBullet"/>
        <w:spacing w:after="60"/>
      </w:pPr>
      <w:r>
        <w:rPr>
          <w:rFonts w:ascii="Arial" w:hAnsi="Arial" w:eastAsia="Arial"/>
          <w:sz w:val="22"/>
        </w:rPr>
        <w:t>Final approval of generated Entry/Exit package.</w:t>
      </w:r>
    </w:p>
    <w:p>
      <w:pPr>
        <w:pStyle w:val="ListBullet"/>
        <w:spacing w:after="60"/>
      </w:pPr>
      <w:r>
        <w:rPr>
          <w:rFonts w:ascii="Arial" w:hAnsi="Arial" w:eastAsia="Arial"/>
          <w:sz w:val="22"/>
        </w:rPr>
        <w:t>Approval of Bestemmingsdocument and BTW Nota applicability and content.</w:t>
      </w:r>
    </w:p>
    <w:p>
      <w:pPr>
        <w:pStyle w:val="Heading2"/>
      </w:pPr>
      <w:r>
        <w:rPr>
          <w:rFonts w:ascii="Arial" w:hAnsi="Arial" w:eastAsia="Arial"/>
        </w:rPr>
        <w:t>6.2 Audit data that must be kept</w:t>
      </w:r>
    </w:p>
    <w:p>
      <w:pPr>
        <w:pStyle w:val="ListBullet"/>
        <w:spacing w:after="60"/>
      </w:pPr>
      <w:r>
        <w:rPr>
          <w:rFonts w:ascii="Arial" w:hAnsi="Arial" w:eastAsia="Arial"/>
          <w:sz w:val="22"/>
        </w:rPr>
        <w:t>Original source file and immutable attachment reference.</w:t>
      </w:r>
    </w:p>
    <w:p>
      <w:pPr>
        <w:pStyle w:val="ListBullet"/>
        <w:spacing w:after="60"/>
      </w:pPr>
      <w:r>
        <w:rPr>
          <w:rFonts w:ascii="Arial" w:hAnsi="Arial" w:eastAsia="Arial"/>
          <w:sz w:val="22"/>
        </w:rPr>
        <w:t>Raw extracted values, normalized values and corrected values.</w:t>
      </w:r>
    </w:p>
    <w:p>
      <w:pPr>
        <w:pStyle w:val="ListBullet"/>
        <w:spacing w:after="60"/>
      </w:pPr>
      <w:r>
        <w:rPr>
          <w:rFonts w:ascii="Arial" w:hAnsi="Arial" w:eastAsia="Arial"/>
          <w:sz w:val="22"/>
        </w:rPr>
        <w:t>Extraction engine used and extraction timestamp.</w:t>
      </w:r>
    </w:p>
    <w:p>
      <w:pPr>
        <w:pStyle w:val="ListBullet"/>
        <w:spacing w:after="60"/>
      </w:pPr>
      <w:r>
        <w:rPr>
          <w:rFonts w:ascii="Arial" w:hAnsi="Arial" w:eastAsia="Arial"/>
          <w:sz w:val="22"/>
        </w:rPr>
        <w:t>Mapping template and version used.</w:t>
      </w:r>
    </w:p>
    <w:p>
      <w:pPr>
        <w:pStyle w:val="ListBullet"/>
        <w:spacing w:after="60"/>
      </w:pPr>
      <w:r>
        <w:rPr>
          <w:rFonts w:ascii="Arial" w:hAnsi="Arial" w:eastAsia="Arial"/>
          <w:sz w:val="22"/>
        </w:rPr>
        <w:t>Reviewer, review timestamp and comments.</w:t>
      </w:r>
    </w:p>
    <w:p>
      <w:pPr>
        <w:pStyle w:val="ListBullet"/>
        <w:spacing w:after="60"/>
      </w:pPr>
      <w:r>
        <w:rPr>
          <w:rFonts w:ascii="Arial" w:hAnsi="Arial" w:eastAsia="Arial"/>
          <w:sz w:val="22"/>
        </w:rPr>
        <w:t>Generated PDF filename, version and generation timestamp.</w:t>
      </w:r>
    </w:p>
    <w:p>
      <w:pPr>
        <w:pStyle w:val="ListBullet"/>
        <w:spacing w:after="60"/>
      </w:pPr>
      <w:r>
        <w:rPr>
          <w:rFonts w:ascii="Arial" w:hAnsi="Arial" w:eastAsia="Arial"/>
          <w:sz w:val="22"/>
        </w:rPr>
        <w:t>VIES/VAT result, timestamp, VAT number, partner and source response status.</w:t>
      </w:r>
    </w:p>
    <w:p>
      <w:pPr>
        <w:pStyle w:val="Heading1"/>
      </w:pPr>
      <w:r>
        <w:rPr>
          <w:rFonts w:ascii="Arial" w:hAnsi="Arial" w:eastAsia="Arial"/>
        </w:rPr>
        <w:t>7. Phase 0 build focus and acceptance criteria</w:t>
      </w:r>
    </w:p>
    <w:p>
      <w:r>
        <w:rPr>
          <w:rFonts w:ascii="Arial" w:hAnsi="Arial" w:eastAsia="Arial"/>
          <w:sz w:val="22"/>
        </w:rPr>
        <w:t>Phase 0 should prove the mechanism without pretending that real OCR is already solved. The extraction can be mocked, but the process, states, review, mapping, PDF generation and audit trail must be real.</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vAlign w:val="top"/>
            <w:tcMar>
              <w:top w:w="80" w:type="dxa"/>
              <w:start w:w="80" w:type="dxa"/>
              <w:bottom w:w="80" w:type="dxa"/>
              <w:end w:w="80" w:type="dxa"/>
            </w:tcMar>
            <w:shd w:fill="046A38"/>
          </w:tcPr>
          <w:p>
            <w:pPr>
              <w:spacing w:after="40"/>
            </w:pPr>
            <w:r>
              <w:rPr>
                <w:rFonts w:ascii="Arial" w:hAnsi="Arial" w:eastAsia="Arial"/>
                <w:b/>
                <w:color w:val="FFFFFF"/>
                <w:sz w:val="22"/>
              </w:rPr>
            </w:r>
            <w:r>
              <w:rPr>
                <w:rFonts w:ascii="Arial" w:hAnsi="Arial" w:eastAsia="Arial"/>
                <w:b/>
                <w:color w:val="FFFFFF"/>
                <w:sz w:val="22"/>
              </w:rPr>
              <w:t>Build item</w:t>
            </w:r>
          </w:p>
        </w:tc>
        <w:tc>
          <w:tcPr>
            <w:tcW w:type="dxa" w:w="2509"/>
            <w:vAlign w:val="top"/>
            <w:tcMar>
              <w:top w:w="80" w:type="dxa"/>
              <w:start w:w="80" w:type="dxa"/>
              <w:bottom w:w="80" w:type="dxa"/>
              <w:end w:w="80" w:type="dxa"/>
            </w:tcMar>
            <w:shd w:fill="046A38"/>
          </w:tcPr>
          <w:p>
            <w:pPr>
              <w:spacing w:after="40"/>
            </w:pPr>
            <w:r>
              <w:rPr>
                <w:rFonts w:ascii="Arial" w:hAnsi="Arial" w:eastAsia="Arial"/>
                <w:b/>
                <w:color w:val="FFFFFF"/>
                <w:sz w:val="22"/>
              </w:rPr>
            </w:r>
            <w:r>
              <w:rPr>
                <w:rFonts w:ascii="Arial" w:hAnsi="Arial" w:eastAsia="Arial"/>
                <w:b/>
                <w:color w:val="FFFFFF"/>
                <w:sz w:val="22"/>
              </w:rPr>
              <w:t>Phase 0 behavior</w:t>
            </w:r>
          </w:p>
        </w:tc>
        <w:tc>
          <w:tcPr>
            <w:tcW w:type="dxa" w:w="2509"/>
            <w:vAlign w:val="top"/>
            <w:tcMar>
              <w:top w:w="80" w:type="dxa"/>
              <w:start w:w="80" w:type="dxa"/>
              <w:bottom w:w="80" w:type="dxa"/>
              <w:end w:w="80" w:type="dxa"/>
            </w:tcMar>
            <w:shd w:fill="046A38"/>
          </w:tcPr>
          <w:p>
            <w:pPr>
              <w:spacing w:after="40"/>
            </w:pPr>
            <w:r>
              <w:rPr>
                <w:rFonts w:ascii="Arial" w:hAnsi="Arial" w:eastAsia="Arial"/>
                <w:b/>
                <w:color w:val="FFFFFF"/>
                <w:sz w:val="22"/>
              </w:rPr>
            </w:r>
            <w:r>
              <w:rPr>
                <w:rFonts w:ascii="Arial" w:hAnsi="Arial" w:eastAsia="Arial"/>
                <w:b/>
                <w:color w:val="FFFFFF"/>
                <w:sz w:val="22"/>
              </w:rPr>
              <w:t>Acceptance criteria</w:t>
            </w:r>
          </w:p>
        </w:tc>
        <w:tc>
          <w:tcPr>
            <w:tcW w:type="dxa" w:w="2509"/>
            <w:vAlign w:val="top"/>
            <w:tcMar>
              <w:top w:w="80" w:type="dxa"/>
              <w:start w:w="80" w:type="dxa"/>
              <w:bottom w:w="80" w:type="dxa"/>
              <w:end w:w="80" w:type="dxa"/>
            </w:tcMar>
            <w:shd w:fill="046A38"/>
          </w:tcPr>
          <w:p>
            <w:pPr>
              <w:spacing w:after="40"/>
            </w:pPr>
            <w:r>
              <w:rPr>
                <w:rFonts w:ascii="Arial" w:hAnsi="Arial" w:eastAsia="Arial"/>
                <w:b/>
                <w:color w:val="FFFFFF"/>
                <w:sz w:val="22"/>
              </w:rPr>
            </w:r>
            <w:r>
              <w:rPr>
                <w:rFonts w:ascii="Arial" w:hAnsi="Arial" w:eastAsia="Arial"/>
                <w:b/>
                <w:color w:val="FFFFFF"/>
                <w:sz w:val="22"/>
              </w:rPr>
              <w:t>Manual test</w:t>
            </w:r>
          </w:p>
        </w:tc>
      </w:tr>
      <w:tr>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Module shell</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Installable vat_warehouse_document_automation module with VAT Warehouse menu.</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Module installs without errors and menu opens.</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Install from Apps and open menu.</w:t>
            </w:r>
          </w:p>
        </w:tc>
      </w:tr>
      <w:tr>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Source document record</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Create vat.warehouse.document with source attachment and document type fields.</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Original attachment can be uploaded and remains linked.</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Create document and upload sample 796.6.</w:t>
            </w:r>
          </w:p>
        </w:tc>
      </w:tr>
      <w:tr>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Classification</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Mock classification assigns 796.6 import / invoice / transfer with confidence.</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Document moves to classified or needs_review.</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Click classify and inspect result.</w:t>
            </w:r>
          </w:p>
        </w:tc>
      </w:tr>
      <w:tr>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Extraction</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Mock extraction fills key fields and creates field-level extraction records.</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Raw/normalized/corrected fields visible.</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Run extraction and verify fields.</w:t>
            </w:r>
          </w:p>
        </w:tc>
      </w:tr>
      <w:tr>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Review/correction</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Reviewer can correct one field and mark validated.</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Correction is stored and logged.</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Correct weight or commodity code and validate.</w:t>
            </w:r>
          </w:p>
        </w:tc>
      </w:tr>
      <w:tr>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Mapping memory</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User can save a mapping and apply it to another document.</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Mapping record created and reused on second document.</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Create second document and apply mapping.</w:t>
            </w:r>
          </w:p>
        </w:tc>
      </w:tr>
      <w:tr>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Entry PDF</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Generate Entry Document PDF as attachment.</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PDF exists, is versioned, and chatter logs generation.</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Generate PDF and inspect attachment.</w:t>
            </w:r>
          </w:p>
        </w:tc>
      </w:tr>
      <w:tr>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Audit trail</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Important state changes post chatter messages.</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Upload/classify/extract/validate/generate visible in chatter.</w:t>
            </w:r>
          </w:p>
        </w:tc>
        <w:tc>
          <w:tcPr>
            <w:tcW w:type="dxa" w:w="2509"/>
            <w:vAlign w:val="top"/>
            <w:tcMar>
              <w:top w:w="80" w:type="dxa"/>
              <w:start w:w="80" w:type="dxa"/>
              <w:bottom w:w="80" w:type="dxa"/>
              <w:end w:w="80" w:type="dxa"/>
            </w:tcMar>
          </w:tcPr>
          <w:p>
            <w:pPr>
              <w:spacing w:after="40"/>
            </w:pPr>
            <w:r>
              <w:rPr>
                <w:rFonts w:ascii="Arial" w:hAnsi="Arial" w:eastAsia="Arial"/>
                <w:sz w:val="22"/>
              </w:rPr>
            </w:r>
            <w:r>
              <w:rPr>
                <w:rFonts w:ascii="Arial" w:hAnsi="Arial" w:eastAsia="Arial"/>
                <w:b w:val="0"/>
                <w:sz w:val="22"/>
              </w:rPr>
              <w:t>Review chatter timeline.</w:t>
            </w:r>
          </w:p>
        </w:tc>
      </w:tr>
    </w:tbl>
    <w:p>
      <w:pPr>
        <w:pStyle w:val="Heading1"/>
      </w:pPr>
      <w:r>
        <w:rPr>
          <w:rFonts w:ascii="Arial" w:hAnsi="Arial" w:eastAsia="Arial"/>
        </w:rPr>
        <w:t>8. Final handoff summary</w:t>
      </w:r>
    </w:p>
    <w:tbl>
      <w:tblPr>
        <w:tblW w:type="auto" w:w="0"/>
        <w:tblLook w:firstColumn="1" w:firstRow="1" w:lastColumn="0" w:lastRow="0" w:noHBand="0" w:noVBand="1" w:val="04A0"/>
      </w:tblPr>
      <w:tblGrid>
        <w:gridCol w:w="10037"/>
      </w:tblGrid>
      <w:tr>
        <w:tc>
          <w:tcPr>
            <w:tcW w:type="dxa" w:w="10037"/>
            <w:shd w:fill="EAF3DA"/>
            <w:tcMar>
              <w:top w:w="130" w:type="dxa"/>
              <w:start w:w="150" w:type="dxa"/>
              <w:bottom w:w="130" w:type="dxa"/>
              <w:end w:w="150" w:type="dxa"/>
            </w:tcMar>
          </w:tcPr>
          <w:p>
            <w:pPr>
              <w:spacing w:after="40"/>
            </w:pPr>
            <w:r>
              <w:rPr>
                <w:rFonts w:ascii="Arial" w:hAnsi="Arial"/>
                <w:b/>
                <w:sz w:val="22"/>
              </w:rPr>
              <w:t>Start here</w:t>
            </w:r>
          </w:p>
          <w:p>
            <w:pPr>
              <w:spacing w:after="0"/>
            </w:pPr>
            <w:r>
              <w:rPr>
                <w:rFonts w:ascii="Arial" w:hAnsi="Arial"/>
                <w:sz w:val="22"/>
              </w:rPr>
              <w:t>Build the module shell, main VAT Warehouse document model, upload/attachment handling, mock classification, mock extraction, review/correction screen, mapping record and Entry Document QWeb PDF. Keep the process real; mock only the extraction intelligence.</w:t>
            </w:r>
          </w:p>
        </w:tc>
      </w:tr>
    </w:tbl>
    <w:p/>
    <w:p>
      <w:r>
        <w:rPr>
          <w:rFonts w:ascii="Arial" w:hAnsi="Arial" w:eastAsia="Arial"/>
          <w:sz w:val="22"/>
        </w:rPr>
        <w:t>Do not do the following:</w:t>
      </w:r>
    </w:p>
    <w:p>
      <w:pPr>
        <w:pStyle w:val="ListBullet"/>
        <w:spacing w:after="60"/>
      </w:pPr>
      <w:r>
        <w:rPr>
          <w:rFonts w:ascii="Arial" w:hAnsi="Arial" w:eastAsia="Arial"/>
          <w:sz w:val="22"/>
        </w:rPr>
        <w:t>Do not force 796.6 documents through invoice OCR as fake invoices.</w:t>
      </w:r>
    </w:p>
    <w:p>
      <w:pPr>
        <w:pStyle w:val="ListBullet"/>
        <w:spacing w:after="60"/>
      </w:pPr>
      <w:r>
        <w:rPr>
          <w:rFonts w:ascii="Arial" w:hAnsi="Arial" w:eastAsia="Arial"/>
          <w:sz w:val="22"/>
        </w:rPr>
        <w:t>Do not depend on closed server-side invoice layout learning.</w:t>
      </w:r>
    </w:p>
    <w:p>
      <w:pPr>
        <w:pStyle w:val="ListBullet"/>
        <w:spacing w:after="60"/>
      </w:pPr>
      <w:r>
        <w:rPr>
          <w:rFonts w:ascii="Arial" w:hAnsi="Arial" w:eastAsia="Arial"/>
          <w:sz w:val="22"/>
        </w:rPr>
        <w:t>Do not hardcode fiscal/legal rules before VAT/legal validation.</w:t>
      </w:r>
    </w:p>
    <w:p>
      <w:pPr>
        <w:pStyle w:val="ListBullet"/>
        <w:spacing w:after="60"/>
      </w:pPr>
      <w:r>
        <w:rPr>
          <w:rFonts w:ascii="Arial" w:hAnsi="Arial" w:eastAsia="Arial"/>
          <w:sz w:val="22"/>
        </w:rPr>
        <w:t>Do not skip human review in early phases.</w:t>
      </w:r>
    </w:p>
    <w:p>
      <w:pPr>
        <w:pStyle w:val="ListBullet"/>
        <w:spacing w:after="60"/>
      </w:pPr>
      <w:r>
        <w:rPr>
          <w:rFonts w:ascii="Arial" w:hAnsi="Arial" w:eastAsia="Arial"/>
          <w:sz w:val="22"/>
        </w:rPr>
        <w:t>Do not overwrite original documents or generated PDF versions.</w:t>
      </w:r>
    </w:p>
    <w:p>
      <w:pPr>
        <w:pStyle w:val="ListBullet"/>
        <w:spacing w:after="60"/>
      </w:pPr>
      <w:r>
        <w:rPr>
          <w:rFonts w:ascii="Arial" w:hAnsi="Arial" w:eastAsia="Arial"/>
          <w:sz w:val="22"/>
        </w:rPr>
        <w:t>Do not modify Odoo core files directly.</w:t>
      </w:r>
    </w:p>
    <w:p>
      <w:r>
        <w:rPr>
          <w:rFonts w:ascii="Arial" w:hAnsi="Arial" w:eastAsia="Arial"/>
          <w:sz w:val="22"/>
        </w:rPr>
        <w:t>First successful demo equals: upload 796.6, classify it, mock-extract fields, correct one field, save mapping, validate, generate Entry Document PDF, show original + generated attachments, and show chatter/audit trail.</w:t>
      </w:r>
    </w:p>
    <w:sectPr w:rsidR="00FC693F" w:rsidRPr="0006063C" w:rsidSect="00034616">
      <w:headerReference w:type="default" r:id="rId9"/>
      <w:footerReference w:type="default" r:id="rId10"/>
      <w:pgSz w:w="11909" w:h="16834"/>
      <w:pgMar w:top="1008"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5A5A"/>
        <w:sz w:val="18"/>
      </w:rPr>
      <w:t>Deloitte internal working document | portrait layout | minimum 11pt body text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A5A5A"/>
        <w:sz w:val="18"/>
      </w:rPr>
      <w:t>VAT Warehouse OCR Automation | Functional Requirements &amp; Processing Mechanism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eastAsia="Arial"/>
      <w:b/>
      <w:bCs/>
      <w:color w:val="46464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eastAsia="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pPr>
      <w:spacing w:after="120"/>
    </w:pPr>
    <w:rPr>
      <w:rFonts w:ascii="Arial" w:hAnsi="Arial" w:eastAsia="Arial"/>
      <w:i/>
      <w:color w:val="50505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