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304D" w14:textId="77777777" w:rsidR="00B51423" w:rsidRDefault="00000000">
      <w:pPr>
        <w:spacing w:after="40"/>
        <w:jc w:val="center"/>
      </w:pPr>
      <w:r>
        <w:rPr>
          <w:rFonts w:ascii="Aptos Display" w:hAnsi="Aptos Display"/>
          <w:b/>
          <w:color w:val="1F4E3C"/>
          <w:sz w:val="46"/>
        </w:rPr>
        <w:t>Concept Note — Coupling G4M</w:t>
      </w:r>
      <w:r w:rsidR="00940947">
        <w:rPr>
          <w:rFonts w:ascii="Aptos Display" w:hAnsi="Aptos Display"/>
          <w:b/>
          <w:color w:val="1F4E3C"/>
          <w:sz w:val="46"/>
        </w:rPr>
        <w:t>, PICUS</w:t>
      </w:r>
      <w:r>
        <w:rPr>
          <w:rFonts w:ascii="Aptos Display" w:hAnsi="Aptos Display"/>
          <w:b/>
          <w:color w:val="1F4E3C"/>
          <w:sz w:val="46"/>
        </w:rPr>
        <w:t xml:space="preserve"> with </w:t>
      </w:r>
      <w:proofErr w:type="spellStart"/>
      <w:r>
        <w:rPr>
          <w:rFonts w:ascii="Aptos Display" w:hAnsi="Aptos Display"/>
          <w:b/>
          <w:color w:val="1F4E3C"/>
          <w:sz w:val="46"/>
        </w:rPr>
        <w:t>EnergyScope</w:t>
      </w:r>
      <w:proofErr w:type="spellEnd"/>
      <w:r>
        <w:rPr>
          <w:rFonts w:ascii="Aptos Display" w:hAnsi="Aptos Display"/>
          <w:b/>
          <w:color w:val="1F4E3C"/>
          <w:sz w:val="46"/>
        </w:rPr>
        <w:t xml:space="preserve"> Finland</w:t>
      </w:r>
    </w:p>
    <w:p w14:paraId="5647C041" w14:textId="77777777" w:rsidR="00B51423" w:rsidRDefault="00000000">
      <w:pPr>
        <w:spacing w:after="160"/>
        <w:jc w:val="center"/>
      </w:pPr>
      <w:r>
        <w:rPr>
          <w:i/>
          <w:color w:val="505050"/>
          <w:sz w:val="26"/>
        </w:rPr>
        <w:t>Forest-management and disturbance-driven biomass supply curves, and the forest carbon sink</w:t>
      </w:r>
    </w:p>
    <w:p w14:paraId="19A765FE" w14:textId="77777777" w:rsidR="00B51423" w:rsidRDefault="00000000">
      <w:pPr>
        <w:spacing w:after="20"/>
        <w:jc w:val="center"/>
      </w:pPr>
      <w:r>
        <w:rPr>
          <w:b/>
          <w:sz w:val="21"/>
        </w:rPr>
        <w:t>Matthieu Bordenave</w:t>
      </w:r>
    </w:p>
    <w:p w14:paraId="460075B9" w14:textId="77777777" w:rsidR="00B51423" w:rsidRDefault="00000000">
      <w:pPr>
        <w:spacing w:after="20"/>
        <w:jc w:val="center"/>
      </w:pPr>
      <w:r>
        <w:rPr>
          <w:b/>
          <w:sz w:val="21"/>
        </w:rPr>
        <w:t xml:space="preserve">University of Pisa · IIASA · </w:t>
      </w:r>
      <w:proofErr w:type="spellStart"/>
      <w:r>
        <w:rPr>
          <w:b/>
          <w:sz w:val="21"/>
        </w:rPr>
        <w:t>UCLouvain</w:t>
      </w:r>
      <w:proofErr w:type="spellEnd"/>
    </w:p>
    <w:p w14:paraId="1AB119BE" w14:textId="77777777" w:rsidR="00B51423" w:rsidRDefault="00000000">
      <w:pPr>
        <w:spacing w:after="20"/>
        <w:jc w:val="center"/>
      </w:pPr>
      <w:r>
        <w:rPr>
          <w:b/>
          <w:sz w:val="21"/>
        </w:rPr>
        <w:t>Date: October 2026</w:t>
      </w:r>
    </w:p>
    <w:p w14:paraId="17355835" w14:textId="77777777" w:rsidR="00B51423" w:rsidRDefault="00000000">
      <w:pPr>
        <w:spacing w:after="20"/>
        <w:jc w:val="center"/>
      </w:pPr>
      <w:r>
        <w:rPr>
          <w:b/>
          <w:sz w:val="21"/>
        </w:rPr>
        <w:t>Status: Draft for discussion with IIASA</w:t>
      </w:r>
    </w:p>
    <w:p w14:paraId="748595FC" w14:textId="77777777" w:rsidR="00B51423" w:rsidRDefault="00B51423">
      <w:pPr>
        <w:pBdr>
          <w:bottom w:val="single" w:sz="6" w:space="1" w:color="C8D2CB"/>
        </w:pBdr>
        <w:spacing w:before="40" w:after="120"/>
      </w:pPr>
    </w:p>
    <w:p w14:paraId="43D7CF3F" w14:textId="6A23BAD8" w:rsidR="00B51423" w:rsidRDefault="00000000">
      <w:pPr>
        <w:pStyle w:val="Quote"/>
      </w:pPr>
      <w:r>
        <w:rPr>
          <w:b/>
        </w:rPr>
        <w:t>Purpose of this note.</w:t>
      </w:r>
      <w:r>
        <w:t xml:space="preserve"> The original plan (April 2026) was to couple the </w:t>
      </w:r>
      <w:proofErr w:type="spellStart"/>
      <w:r>
        <w:t>ForestNavigator</w:t>
      </w:r>
      <w:proofErr w:type="spellEnd"/>
      <w:r>
        <w:t xml:space="preserve"> disturbance modules (FLAM, PICUS) to a Finnish stand-level forest simulator maintained by a partner team ("the FORTRAN model"). That coupling is now blocked because the partner team is no longer responsive. This note proposes an </w:t>
      </w:r>
      <w:r>
        <w:rPr>
          <w:b/>
        </w:rPr>
        <w:t>alternative that stays entirely within the IIASA toolchain</w:t>
      </w:r>
      <w:r>
        <w:t xml:space="preserve">: use the </w:t>
      </w:r>
      <w:r>
        <w:rPr>
          <w:b/>
        </w:rPr>
        <w:t>Global Forest Model (G4M)</w:t>
      </w:r>
      <w:r>
        <w:t xml:space="preserve">, for which Finnish data already exist, to generate the forest-management and disturbance-driven biomass supply curves that feed </w:t>
      </w:r>
      <w:proofErr w:type="spellStart"/>
      <w:r>
        <w:t>EnergyScope</w:t>
      </w:r>
      <w:proofErr w:type="spellEnd"/>
      <w:r>
        <w:t xml:space="preserve"> Finland. It also proposes to close the single most important methodological gap in the current working paper</w:t>
      </w:r>
      <w:r w:rsidR="00CD6860">
        <w:t xml:space="preserve">, </w:t>
      </w:r>
      <w:r>
        <w:t xml:space="preserve"> </w:t>
      </w:r>
      <w:r w:rsidR="00CD6860">
        <w:t xml:space="preserve">notably </w:t>
      </w:r>
      <w:r>
        <w:t xml:space="preserve">the </w:t>
      </w:r>
      <w:r>
        <w:rPr>
          <w:b/>
        </w:rPr>
        <w:t>absence of the forest carbon sink</w:t>
      </w:r>
      <w:r w:rsidR="00CD6860">
        <w:t xml:space="preserve">, </w:t>
      </w:r>
      <w:r>
        <w:t xml:space="preserve"> and opens a path toward a European extension with the </w:t>
      </w:r>
      <w:proofErr w:type="spellStart"/>
      <w:r>
        <w:rPr>
          <w:b/>
        </w:rPr>
        <w:t>BeWhere</w:t>
      </w:r>
      <w:proofErr w:type="spellEnd"/>
      <w:r>
        <w:t xml:space="preserve"> model.</w:t>
      </w:r>
    </w:p>
    <w:p w14:paraId="4936708A" w14:textId="77777777" w:rsidR="00B51423" w:rsidRDefault="00B51423">
      <w:pPr>
        <w:pBdr>
          <w:bottom w:val="single" w:sz="6" w:space="1" w:color="C8D2CB"/>
        </w:pBdr>
        <w:spacing w:before="40" w:after="120"/>
      </w:pPr>
    </w:p>
    <w:p w14:paraId="48883101" w14:textId="77777777" w:rsidR="00B51423" w:rsidRDefault="00000000">
      <w:pPr>
        <w:pStyle w:val="Heading1"/>
      </w:pPr>
      <w:r>
        <w:t>1. Context and motivation</w:t>
      </w:r>
    </w:p>
    <w:p w14:paraId="2BCCC928" w14:textId="77777777" w:rsidR="00B51423" w:rsidRDefault="00000000">
      <w:r>
        <w:t xml:space="preserve">Forest biomass supplies roughly a quarter of Finland's primary energy and is the main domestic lever for deep </w:t>
      </w:r>
      <w:proofErr w:type="spellStart"/>
      <w:r>
        <w:t>decarbonisation</w:t>
      </w:r>
      <w:proofErr w:type="spellEnd"/>
      <w:r>
        <w:t xml:space="preserve">. But its availability shaped by forest management choices, competing industrial uses (pulp, paper, </w:t>
      </w:r>
      <w:proofErr w:type="spellStart"/>
      <w:r>
        <w:t>sawnwood</w:t>
      </w:r>
      <w:proofErr w:type="spellEnd"/>
      <w:r>
        <w:t>), ecological constraints on residue and deadwood retention, and  increasingly  by natural disturbances amplified by climate change (bark beetle, windstorm, wildfire).</w:t>
      </w:r>
    </w:p>
    <w:p w14:paraId="6A4DDC8B" w14:textId="77777777" w:rsidR="00B51423" w:rsidRDefault="00000000">
      <w:r>
        <w:t xml:space="preserve">Most whole-energy-system models treat wood as a single, homogeneous, unconstrained resource. Colla et al. (2022) showed for Belgium that representing biomass instead as a </w:t>
      </w:r>
      <w:r w:rsidRPr="00940947">
        <w:rPr>
          <w:bCs/>
        </w:rPr>
        <w:t>multi-step marginal-cost supply curve</w:t>
      </w:r>
      <w:r>
        <w:t xml:space="preserve"> materially changes its optimal allocation, especially under deep </w:t>
      </w:r>
      <w:proofErr w:type="spellStart"/>
      <w:r>
        <w:t>decarbonisation</w:t>
      </w:r>
      <w:proofErr w:type="spellEnd"/>
      <w:r>
        <w:t>. The first working paper of this project applied and extended that idea to Finland</w:t>
      </w:r>
      <w:r w:rsidR="00940947">
        <w:t>,</w:t>
      </w:r>
      <w:r>
        <w:t xml:space="preserve"> a structurally richer and more policy-contested case</w:t>
      </w:r>
      <w:r w:rsidR="00940947">
        <w:t>,</w:t>
      </w:r>
      <w:r>
        <w:t xml:space="preserve"> and is now essentially complete (Section 2).</w:t>
      </w:r>
    </w:p>
    <w:p w14:paraId="4812B89B" w14:textId="77777777" w:rsidR="00B51423" w:rsidRDefault="00000000">
      <w:r>
        <w:t xml:space="preserve">The logical next step is to make the supply curves </w:t>
      </w:r>
      <w:r w:rsidRPr="00940947">
        <w:rPr>
          <w:bCs/>
        </w:rPr>
        <w:t>endogenous to forest dynamics</w:t>
      </w:r>
      <w:r>
        <w:t xml:space="preserve"> rather than read from a static database, so that (</w:t>
      </w:r>
      <w:proofErr w:type="spellStart"/>
      <w:r>
        <w:t>i</w:t>
      </w:r>
      <w:proofErr w:type="spellEnd"/>
      <w:r>
        <w:t xml:space="preserve">) management intensity and (ii) physical disturbance shocks propagate into the energy system through both the </w:t>
      </w:r>
      <w:r w:rsidRPr="00940947">
        <w:rPr>
          <w:bCs/>
        </w:rPr>
        <w:t>quantity/cost of wood</w:t>
      </w:r>
      <w:r>
        <w:t xml:space="preserve"> and the </w:t>
      </w:r>
      <w:r w:rsidRPr="00940947">
        <w:rPr>
          <w:bCs/>
        </w:rPr>
        <w:t>forest carbon balance</w:t>
      </w:r>
      <w:r>
        <w:t>. G4M</w:t>
      </w:r>
      <w:r w:rsidR="00940947">
        <w:t>, its PICUS extensions, and relevant literature</w:t>
      </w:r>
      <w:r>
        <w:t xml:space="preserve"> </w:t>
      </w:r>
      <w:r w:rsidR="00940947">
        <w:t xml:space="preserve">should be </w:t>
      </w:r>
      <w:r>
        <w:t>well suited to provide these outputs for Finland.</w:t>
      </w:r>
    </w:p>
    <w:p w14:paraId="1140F2AB" w14:textId="77777777" w:rsidR="00B51423" w:rsidRDefault="00B51423">
      <w:pPr>
        <w:pBdr>
          <w:bottom w:val="single" w:sz="6" w:space="1" w:color="C8D2CB"/>
        </w:pBdr>
        <w:spacing w:before="40" w:after="120"/>
      </w:pPr>
    </w:p>
    <w:p w14:paraId="03AA543B" w14:textId="77777777" w:rsidR="00B51423" w:rsidRDefault="00000000">
      <w:pPr>
        <w:pStyle w:val="Heading1"/>
      </w:pPr>
      <w:r>
        <w:t>2. State of the working paper (what is already done</w:t>
      </w:r>
      <w:r w:rsidR="00940947">
        <w:t xml:space="preserve"> in the working paper</w:t>
      </w:r>
      <w:r>
        <w:t>)</w:t>
      </w:r>
    </w:p>
    <w:p w14:paraId="386E0133" w14:textId="2346B351" w:rsidR="00B51423" w:rsidRPr="002058C8" w:rsidRDefault="00000000" w:rsidP="002058C8">
      <w:pPr>
        <w:rPr>
          <w:i/>
        </w:rPr>
      </w:pPr>
      <w:r>
        <w:t xml:space="preserve">The first paper — </w:t>
      </w:r>
      <w:r w:rsidR="002058C8" w:rsidRPr="002058C8">
        <w:rPr>
          <w:i/>
        </w:rPr>
        <w:t>From Bioeconomy Promise to Biodiversity Ceiling: The</w:t>
      </w:r>
      <w:r w:rsidR="002058C8">
        <w:rPr>
          <w:i/>
        </w:rPr>
        <w:t xml:space="preserve"> </w:t>
      </w:r>
      <w:r w:rsidR="002058C8" w:rsidRPr="002058C8">
        <w:rPr>
          <w:i/>
        </w:rPr>
        <w:t xml:space="preserve">Role of Forest Biomass in Finnish </w:t>
      </w:r>
      <w:proofErr w:type="spellStart"/>
      <w:r w:rsidR="002058C8" w:rsidRPr="002058C8">
        <w:rPr>
          <w:i/>
        </w:rPr>
        <w:t>Decarbonisation</w:t>
      </w:r>
      <w:proofErr w:type="spellEnd"/>
      <w:r>
        <w:t xml:space="preserve">— is built and its results </w:t>
      </w:r>
      <w:r w:rsidR="002058C8">
        <w:t xml:space="preserve">should be </w:t>
      </w:r>
      <w:r w:rsidR="00CD6860">
        <w:t>read</w:t>
      </w:r>
      <w:r w:rsidR="002058C8">
        <w:t xml:space="preserve"> as stylized</w:t>
      </w:r>
      <w:r>
        <w:t>. In short:</w:t>
      </w:r>
    </w:p>
    <w:p w14:paraId="6F30C9FB" w14:textId="77777777" w:rsidR="00B51423" w:rsidRDefault="00000000">
      <w:pPr>
        <w:pStyle w:val="ListBullet"/>
      </w:pPr>
      <w:r>
        <w:rPr>
          <w:b/>
        </w:rPr>
        <w:t>Calibrated 2017 baseline.</w:t>
      </w:r>
      <w:r>
        <w:t xml:space="preserve"> </w:t>
      </w:r>
      <w:proofErr w:type="spellStart"/>
      <w:r>
        <w:t>EnergyScope</w:t>
      </w:r>
      <w:proofErr w:type="spellEnd"/>
      <w:r>
        <w:t xml:space="preserve"> Finland reproduces the 2017 national energy balance to a weighted error of ~1.2% across 14 scored indicators (primary energy, electricity mix, CO₂ within 0.1%).</w:t>
      </w:r>
      <w:r w:rsidR="002058C8">
        <w:t xml:space="preserve"> </w:t>
      </w:r>
    </w:p>
    <w:p w14:paraId="3DC194D3" w14:textId="77777777" w:rsidR="00B51423" w:rsidRDefault="00000000">
      <w:pPr>
        <w:pStyle w:val="ListBullet"/>
      </w:pPr>
      <w:r>
        <w:rPr>
          <w:b/>
        </w:rPr>
        <w:t>Stepwise Finnish wood supply curves (2035).</w:t>
      </w:r>
      <w:r>
        <w:t xml:space="preserve"> The single </w:t>
      </w:r>
      <w:r>
        <w:rPr>
          <w:rFonts w:ascii="Consolas" w:hAnsi="Consolas"/>
          <w:sz w:val="18"/>
        </w:rPr>
        <w:t>WOOD</w:t>
      </w:r>
      <w:r>
        <w:t xml:space="preserve"> resource is replaced by four domestic steps plus an import backstop, dispatched in merit order: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61"/>
        <w:gridCol w:w="3361"/>
        <w:gridCol w:w="3360"/>
      </w:tblGrid>
      <w:tr w:rsidR="00B51423" w14:paraId="10801124" w14:textId="77777777">
        <w:tc>
          <w:tcPr>
            <w:tcW w:w="3364" w:type="dxa"/>
            <w:shd w:val="clear" w:color="auto" w:fill="E9F0EA"/>
          </w:tcPr>
          <w:p w14:paraId="46773932" w14:textId="77777777" w:rsidR="00B51423" w:rsidRDefault="00000000">
            <w:pPr>
              <w:spacing w:after="20"/>
            </w:pPr>
            <w:r>
              <w:rPr>
                <w:b/>
              </w:rPr>
              <w:t>Step</w:t>
            </w:r>
          </w:p>
        </w:tc>
        <w:tc>
          <w:tcPr>
            <w:tcW w:w="3364" w:type="dxa"/>
            <w:shd w:val="clear" w:color="auto" w:fill="E9F0EA"/>
          </w:tcPr>
          <w:p w14:paraId="66DA0522" w14:textId="77777777" w:rsidR="00B51423" w:rsidRDefault="00000000">
            <w:pPr>
              <w:spacing w:after="20"/>
            </w:pPr>
            <w:r>
              <w:rPr>
                <w:b/>
              </w:rPr>
              <w:t>Interpretation</w:t>
            </w:r>
          </w:p>
        </w:tc>
        <w:tc>
          <w:tcPr>
            <w:tcW w:w="3364" w:type="dxa"/>
            <w:shd w:val="clear" w:color="auto" w:fill="E9F0EA"/>
          </w:tcPr>
          <w:p w14:paraId="5503DE9D" w14:textId="77777777" w:rsidR="00B51423" w:rsidRDefault="00000000">
            <w:pPr>
              <w:spacing w:after="20"/>
            </w:pPr>
            <w:r>
              <w:rPr>
                <w:b/>
              </w:rPr>
              <w:t>Marginal cost</w:t>
            </w:r>
          </w:p>
        </w:tc>
      </w:tr>
      <w:tr w:rsidR="00B51423" w14:paraId="73B14D1F" w14:textId="77777777">
        <w:tc>
          <w:tcPr>
            <w:tcW w:w="3364" w:type="dxa"/>
          </w:tcPr>
          <w:p w14:paraId="1C1E5F55" w14:textId="77777777" w:rsidR="00B51423" w:rsidRDefault="00000000">
            <w:pPr>
              <w:spacing w:after="20"/>
            </w:pPr>
            <w:r>
              <w:rPr>
                <w:rFonts w:ascii="Consolas" w:hAnsi="Consolas"/>
                <w:sz w:val="18"/>
              </w:rPr>
              <w:t>WOOD_FI1</w:t>
            </w:r>
          </w:p>
        </w:tc>
        <w:tc>
          <w:tcPr>
            <w:tcW w:w="3364" w:type="dxa"/>
          </w:tcPr>
          <w:p w14:paraId="543BFDC5" w14:textId="77777777" w:rsidR="00B51423" w:rsidRDefault="00000000">
            <w:pPr>
              <w:spacing w:after="20"/>
            </w:pPr>
            <w:r>
              <w:t>industrial by-products (black liquor, bark, sawdust)</w:t>
            </w:r>
          </w:p>
        </w:tc>
        <w:tc>
          <w:tcPr>
            <w:tcW w:w="3364" w:type="dxa"/>
          </w:tcPr>
          <w:p w14:paraId="1C8349C2" w14:textId="77777777" w:rsidR="00B51423" w:rsidRDefault="00000000">
            <w:pPr>
              <w:spacing w:after="20"/>
            </w:pPr>
            <w:r>
              <w:t>11 €/MWh</w:t>
            </w:r>
          </w:p>
        </w:tc>
      </w:tr>
      <w:tr w:rsidR="00B51423" w14:paraId="503C5B5D" w14:textId="77777777">
        <w:tc>
          <w:tcPr>
            <w:tcW w:w="3364" w:type="dxa"/>
          </w:tcPr>
          <w:p w14:paraId="73E8A08F" w14:textId="77777777" w:rsidR="00B51423" w:rsidRDefault="00000000">
            <w:pPr>
              <w:spacing w:after="20"/>
            </w:pPr>
            <w:r>
              <w:rPr>
                <w:rFonts w:ascii="Consolas" w:hAnsi="Consolas"/>
                <w:sz w:val="18"/>
              </w:rPr>
              <w:t>WOOD_FI2</w:t>
            </w:r>
          </w:p>
        </w:tc>
        <w:tc>
          <w:tcPr>
            <w:tcW w:w="3364" w:type="dxa"/>
          </w:tcPr>
          <w:p w14:paraId="3E64895B" w14:textId="77777777" w:rsidR="00B51423" w:rsidRDefault="00000000">
            <w:pPr>
              <w:spacing w:after="20"/>
            </w:pPr>
            <w:r>
              <w:t>logging residues (branches, tops)</w:t>
            </w:r>
          </w:p>
        </w:tc>
        <w:tc>
          <w:tcPr>
            <w:tcW w:w="3364" w:type="dxa"/>
          </w:tcPr>
          <w:p w14:paraId="31F64831" w14:textId="77777777" w:rsidR="00B51423" w:rsidRDefault="00000000">
            <w:pPr>
              <w:spacing w:after="20"/>
            </w:pPr>
            <w:r>
              <w:t>22 €/MWh (26 in S3)</w:t>
            </w:r>
          </w:p>
        </w:tc>
      </w:tr>
      <w:tr w:rsidR="00B51423" w14:paraId="689DD313" w14:textId="77777777">
        <w:tc>
          <w:tcPr>
            <w:tcW w:w="3364" w:type="dxa"/>
          </w:tcPr>
          <w:p w14:paraId="3689D747" w14:textId="77777777" w:rsidR="00B51423" w:rsidRDefault="00000000">
            <w:pPr>
              <w:spacing w:after="20"/>
            </w:pPr>
            <w:r>
              <w:rPr>
                <w:rFonts w:ascii="Consolas" w:hAnsi="Consolas"/>
                <w:sz w:val="18"/>
              </w:rPr>
              <w:t>WOOD_FI3</w:t>
            </w:r>
          </w:p>
        </w:tc>
        <w:tc>
          <w:tcPr>
            <w:tcW w:w="3364" w:type="dxa"/>
          </w:tcPr>
          <w:p w14:paraId="6114861F" w14:textId="77777777" w:rsidR="00B51423" w:rsidRDefault="00000000">
            <w:pPr>
              <w:spacing w:after="20"/>
            </w:pPr>
            <w:r>
              <w:t>secondary woodchips / sawdust</w:t>
            </w:r>
          </w:p>
        </w:tc>
        <w:tc>
          <w:tcPr>
            <w:tcW w:w="3364" w:type="dxa"/>
          </w:tcPr>
          <w:p w14:paraId="6B6A5077" w14:textId="77777777" w:rsidR="00B51423" w:rsidRDefault="00000000">
            <w:pPr>
              <w:spacing w:after="20"/>
            </w:pPr>
            <w:r>
              <w:t>27 €/MWh</w:t>
            </w:r>
          </w:p>
        </w:tc>
      </w:tr>
      <w:tr w:rsidR="00B51423" w14:paraId="0C96CA53" w14:textId="77777777">
        <w:tc>
          <w:tcPr>
            <w:tcW w:w="3364" w:type="dxa"/>
          </w:tcPr>
          <w:p w14:paraId="09B764D6" w14:textId="77777777" w:rsidR="00B51423" w:rsidRDefault="00000000">
            <w:pPr>
              <w:spacing w:after="20"/>
            </w:pPr>
            <w:r>
              <w:rPr>
                <w:rFonts w:ascii="Consolas" w:hAnsi="Consolas"/>
                <w:sz w:val="18"/>
              </w:rPr>
              <w:lastRenderedPageBreak/>
              <w:t>WOOD_FI4</w:t>
            </w:r>
          </w:p>
        </w:tc>
        <w:tc>
          <w:tcPr>
            <w:tcW w:w="3364" w:type="dxa"/>
          </w:tcPr>
          <w:p w14:paraId="5BA40C8E" w14:textId="77777777" w:rsidR="00B51423" w:rsidRDefault="00000000">
            <w:pPr>
              <w:spacing w:after="20"/>
            </w:pPr>
            <w:r>
              <w:t>direct fuelwood + landscape-care wood</w:t>
            </w:r>
          </w:p>
        </w:tc>
        <w:tc>
          <w:tcPr>
            <w:tcW w:w="3364" w:type="dxa"/>
          </w:tcPr>
          <w:p w14:paraId="3F8280DF" w14:textId="77777777" w:rsidR="00B51423" w:rsidRDefault="00000000">
            <w:pPr>
              <w:spacing w:after="20"/>
            </w:pPr>
            <w:r>
              <w:t>33 €/MWh</w:t>
            </w:r>
          </w:p>
        </w:tc>
      </w:tr>
      <w:tr w:rsidR="00B51423" w14:paraId="6CBC249C" w14:textId="77777777">
        <w:tc>
          <w:tcPr>
            <w:tcW w:w="3364" w:type="dxa"/>
          </w:tcPr>
          <w:p w14:paraId="0FDC876E" w14:textId="77777777" w:rsidR="00B51423" w:rsidRDefault="00000000">
            <w:pPr>
              <w:spacing w:after="20"/>
            </w:pPr>
            <w:r>
              <w:rPr>
                <w:rFonts w:ascii="Consolas" w:hAnsi="Consolas"/>
                <w:sz w:val="18"/>
              </w:rPr>
              <w:t>WOOD_FI5</w:t>
            </w:r>
          </w:p>
        </w:tc>
        <w:tc>
          <w:tcPr>
            <w:tcW w:w="3364" w:type="dxa"/>
          </w:tcPr>
          <w:p w14:paraId="1A44400F" w14:textId="77777777" w:rsidR="00B51423" w:rsidRDefault="00000000">
            <w:pPr>
              <w:spacing w:after="20"/>
            </w:pPr>
            <w:r>
              <w:t>Baltic/Nordic import backstop</w:t>
            </w:r>
          </w:p>
        </w:tc>
        <w:tc>
          <w:tcPr>
            <w:tcW w:w="3364" w:type="dxa"/>
          </w:tcPr>
          <w:p w14:paraId="475A42A9" w14:textId="77777777" w:rsidR="00B51423" w:rsidRDefault="00000000">
            <w:pPr>
              <w:spacing w:after="20"/>
            </w:pPr>
            <w:r>
              <w:t>70 €/MWh</w:t>
            </w:r>
          </w:p>
        </w:tc>
      </w:tr>
    </w:tbl>
    <w:p w14:paraId="08D55F00" w14:textId="77777777" w:rsidR="00B51423" w:rsidRDefault="00B51423">
      <w:pPr>
        <w:spacing w:after="40"/>
      </w:pPr>
    </w:p>
    <w:p w14:paraId="7CAA2CE2" w14:textId="77777777" w:rsidR="00B51423" w:rsidRDefault="00000000">
      <w:pPr>
        <w:pStyle w:val="ListBullet"/>
      </w:pPr>
      <w:r>
        <w:rPr>
          <w:b/>
        </w:rPr>
        <w:t>Three forest-management scenarios</w:t>
      </w:r>
      <w:r>
        <w:t>, mapped from the Finnish policy literature (</w:t>
      </w:r>
      <w:proofErr w:type="spellStart"/>
      <w:r>
        <w:t>Blattert</w:t>
      </w:r>
      <w:proofErr w:type="spellEnd"/>
      <w:r>
        <w:t xml:space="preserve"> et al. 2022) and the ecological harvest ceiling (Mönkkönen et al. 2024), and </w:t>
      </w:r>
      <w:proofErr w:type="spellStart"/>
      <w:r>
        <w:t>parameterised</w:t>
      </w:r>
      <w:proofErr w:type="spellEnd"/>
      <w:r>
        <w:t xml:space="preserve"> from the EC/JRC </w:t>
      </w:r>
      <w:r>
        <w:rPr>
          <w:b/>
        </w:rPr>
        <w:t>ENSPRESO</w:t>
      </w:r>
      <w:r>
        <w:t xml:space="preserve"> biomass database:</w:t>
      </w:r>
    </w:p>
    <w:p w14:paraId="2788C88C" w14:textId="77777777" w:rsidR="00B51423" w:rsidRDefault="00000000">
      <w:pPr>
        <w:pStyle w:val="ListBullet"/>
        <w:ind w:left="720"/>
      </w:pPr>
      <w:r>
        <w:rPr>
          <w:b/>
        </w:rPr>
        <w:t>S1 / BES</w:t>
      </w:r>
      <w:r>
        <w:t xml:space="preserve"> (Bioeconomy) — </w:t>
      </w:r>
      <w:proofErr w:type="spellStart"/>
      <w:r>
        <w:t>stylised</w:t>
      </w:r>
      <w:proofErr w:type="spellEnd"/>
      <w:r>
        <w:t xml:space="preserve"> high-</w:t>
      </w:r>
      <w:proofErr w:type="spellStart"/>
      <w:r>
        <w:t>mobilisation</w:t>
      </w:r>
      <w:proofErr w:type="spellEnd"/>
      <w:r>
        <w:t xml:space="preserve"> case, ~122 TWh domestic wood;</w:t>
      </w:r>
    </w:p>
    <w:p w14:paraId="458272CF" w14:textId="77777777" w:rsidR="00B51423" w:rsidRDefault="00000000">
      <w:pPr>
        <w:pStyle w:val="ListBullet"/>
        <w:ind w:left="720"/>
      </w:pPr>
      <w:r>
        <w:rPr>
          <w:b/>
        </w:rPr>
        <w:t>S2 / NFS</w:t>
      </w:r>
      <w:r>
        <w:t xml:space="preserve"> (National Forest Strategy) — ENSPRESO-medium baseline, ~102 TWh;</w:t>
      </w:r>
    </w:p>
    <w:p w14:paraId="387B41C5" w14:textId="77777777" w:rsidR="00B51423" w:rsidRDefault="00000000">
      <w:pPr>
        <w:pStyle w:val="ListBullet"/>
        <w:ind w:left="720"/>
      </w:pPr>
      <w:r>
        <w:rPr>
          <w:b/>
        </w:rPr>
        <w:t>S3 / BDS</w:t>
      </w:r>
      <w:r>
        <w:t xml:space="preserve"> (Biodiversity) — conservative ceiling revised down to ~40 TWh after a three-way audit against LUKE 2024 observed use, the Mönkkönen ecological ceiling, and competing industrial roundwood demand.</w:t>
      </w:r>
    </w:p>
    <w:p w14:paraId="6B9702D9" w14:textId="77777777" w:rsidR="00B51423" w:rsidRDefault="00000000">
      <w:pPr>
        <w:pStyle w:val="ListBullet"/>
      </w:pPr>
      <w:r>
        <w:rPr>
          <w:b/>
        </w:rPr>
        <w:t>Completed 3 × 3 scenario matrix</w:t>
      </w:r>
      <w:r>
        <w:t>: {S1, S2, S3} × {unconstrained, −95% GHG with nuclear, −95% GHG no-nuclear}. Headline findings: the 2035 system is already ~70% below 2017 even unconstrained; under −95% the conservation scenario (S3) saturates its wood ceiling and becomes the most expensive configuration; removing nuclear sharply raises the value of biomass in S1/S2 but S3 cannot expand.</w:t>
      </w:r>
    </w:p>
    <w:p w14:paraId="1B552855" w14:textId="77777777" w:rsidR="00B51423" w:rsidRDefault="00333270">
      <w:r>
        <w:rPr>
          <w:b/>
        </w:rPr>
        <w:t>CAVEAT:</w:t>
      </w:r>
    </w:p>
    <w:p w14:paraId="2CF91521" w14:textId="682706A3" w:rsidR="00B51423" w:rsidRDefault="00000000">
      <w:r>
        <w:t xml:space="preserve">1. </w:t>
      </w:r>
      <w:r>
        <w:rPr>
          <w:i/>
        </w:rPr>
        <w:t>Grounded:</w:t>
      </w:r>
      <w:r>
        <w:t xml:space="preserve"> the </w:t>
      </w:r>
      <w:proofErr w:type="spellStart"/>
      <w:r>
        <w:t>ENSPRESO→scenario</w:t>
      </w:r>
      <w:proofErr w:type="spellEnd"/>
      <w:r>
        <w:t xml:space="preserve"> mapping</w:t>
      </w:r>
      <w:r w:rsidR="00CD6860">
        <w:t xml:space="preserve">, </w:t>
      </w:r>
      <w:r>
        <w:t xml:space="preserve">the cost/GHG parameters follow Colla (2022) and RED II Annex VI, and the S1 (+20%) and S3 (40 TWh) values are explicitly flagged as </w:t>
      </w:r>
      <w:proofErr w:type="spellStart"/>
      <w:r>
        <w:t>stylised</w:t>
      </w:r>
      <w:proofErr w:type="spellEnd"/>
      <w:r>
        <w:t>/revised rather than raw ENSPRESO.</w:t>
      </w:r>
    </w:p>
    <w:p w14:paraId="6AAC5B11" w14:textId="1E4062B1" w:rsidR="00B51423" w:rsidRDefault="00000000">
      <w:r>
        <w:t xml:space="preserve">2. </w:t>
      </w:r>
      <w:r>
        <w:rPr>
          <w:i/>
        </w:rPr>
        <w:t>Caveat (static &amp; exogenous):</w:t>
      </w:r>
      <w:r>
        <w:t xml:space="preserve"> the curves are read from ENSPRESO potentials,</w:t>
      </w:r>
      <w:r w:rsidR="00CD6860">
        <w:t xml:space="preserve"> and published papers,</w:t>
      </w:r>
      <w:r>
        <w:t xml:space="preserve"> not </w:t>
      </w:r>
      <w:r w:rsidR="00CD6860">
        <w:t xml:space="preserve">directly </w:t>
      </w:r>
      <w:r>
        <w:t xml:space="preserve">from a forest model. Scenarios differ only in </w:t>
      </w:r>
      <w:r>
        <w:rPr>
          <w:b/>
        </w:rPr>
        <w:t>availability and cost</w:t>
      </w:r>
      <w:r>
        <w:t>, with no forest growth dynamics, age structure, or disturbance</w:t>
      </w:r>
      <w:r w:rsidR="00333270">
        <w:t>s, they are adaptation of existing papers</w:t>
      </w:r>
      <w:r w:rsidR="008100E3">
        <w:t xml:space="preserve"> (</w:t>
      </w:r>
      <w:proofErr w:type="spellStart"/>
      <w:r w:rsidR="008100E3">
        <w:t>Blattert</w:t>
      </w:r>
      <w:proofErr w:type="spellEnd"/>
      <w:r w:rsidR="008100E3">
        <w:t xml:space="preserve"> and Mönkkönen).</w:t>
      </w:r>
    </w:p>
    <w:p w14:paraId="712E9156" w14:textId="37FFF620" w:rsidR="00B51423" w:rsidRDefault="00000000">
      <w:r>
        <w:t xml:space="preserve">3. </w:t>
      </w:r>
      <w:r w:rsidR="00CD6860">
        <w:t xml:space="preserve">Other </w:t>
      </w:r>
      <w:r>
        <w:rPr>
          <w:b/>
        </w:rPr>
        <w:t xml:space="preserve">Gap </w:t>
      </w:r>
      <w:r w:rsidR="00CD6860">
        <w:rPr>
          <w:b/>
        </w:rPr>
        <w:t xml:space="preserve">: </w:t>
      </w:r>
      <w:r>
        <w:rPr>
          <w:b/>
        </w:rPr>
        <w:t>the forest carbon sink is absent.</w:t>
      </w:r>
      <w:r>
        <w:t xml:space="preserve"> The binding climate constraint in the model (</w:t>
      </w:r>
      <w:r>
        <w:rPr>
          <w:rFonts w:ascii="Consolas" w:hAnsi="Consolas"/>
          <w:sz w:val="18"/>
        </w:rPr>
        <w:t>ESMC_model_AMPL.mod</w:t>
      </w:r>
      <w:r>
        <w:t xml:space="preserve">, </w:t>
      </w:r>
      <w:proofErr w:type="spellStart"/>
      <w:r>
        <w:rPr>
          <w:rFonts w:ascii="Consolas" w:hAnsi="Consolas"/>
          <w:sz w:val="18"/>
        </w:rPr>
        <w:t>Minimum_GWP_reduction</w:t>
      </w:r>
      <w:proofErr w:type="spellEnd"/>
      <w:r>
        <w:t>) is</w:t>
      </w:r>
    </w:p>
    <w:p w14:paraId="228A7B3E" w14:textId="77777777" w:rsidR="00B51423" w:rsidRPr="00940947" w:rsidRDefault="00000000">
      <w:pPr>
        <w:pStyle w:val="CodeBlock"/>
        <w:jc w:val="center"/>
        <w:rPr>
          <w:lang w:val="pt-PT"/>
        </w:rPr>
      </w:pPr>
      <w:r>
        <w:t>Σ</w:t>
      </w:r>
      <w:r w:rsidRPr="00940947">
        <w:rPr>
          <w:lang w:val="pt-PT"/>
        </w:rPr>
        <w:t>[r ∈ RESOURCES] CO₂_net[r] ≤ gwp_limit,</w:t>
      </w:r>
    </w:p>
    <w:p w14:paraId="35A6BBB0" w14:textId="7766310B" w:rsidR="00B51423" w:rsidRDefault="00000000">
      <w:r>
        <w:t xml:space="preserve">i.e. </w:t>
      </w:r>
      <w:r>
        <w:rPr>
          <w:b/>
        </w:rPr>
        <w:t>energy-system combustion emissions only</w:t>
      </w:r>
      <w:r>
        <w:t xml:space="preserve">. </w:t>
      </w:r>
      <w:r w:rsidR="00CD6860">
        <w:t>The energy model take into account the different embedded emission of each wood categories (downstream process emission) but b</w:t>
      </w:r>
      <w:r>
        <w:t xml:space="preserve">iomass combustion is </w:t>
      </w:r>
      <w:r w:rsidR="00CD6860">
        <w:t xml:space="preserve">modelled as </w:t>
      </w:r>
      <w:r>
        <w:t xml:space="preserve">carbon-neutral by assumption, and there is </w:t>
      </w:r>
      <w:r>
        <w:rPr>
          <w:b/>
        </w:rPr>
        <w:t>no term for the forest sink</w:t>
      </w:r>
      <w:r>
        <w:t xml:space="preserve">. Consequently the current model sees the climate difference between intensive (S1) and conservation (S3) harvest </w:t>
      </w:r>
      <w:r>
        <w:rPr>
          <w:i/>
        </w:rPr>
        <w:t>only</w:t>
      </w:r>
      <w:r>
        <w:t xml:space="preserve"> through supply-chain GHG — it </w:t>
      </w:r>
      <w:r>
        <w:rPr>
          <w:b/>
        </w:rPr>
        <w:t>cannot represent the dominant climate effect of harvest intensity</w:t>
      </w:r>
      <w:r>
        <w:t xml:space="preserve">, namely that lower harvest raises standing stock and the sink, while intensive harvest depletes it. Finnish and EU literature treat this asymmetry as first-order (e.g. </w:t>
      </w:r>
      <w:proofErr w:type="spellStart"/>
      <w:r>
        <w:t>Blattert's</w:t>
      </w:r>
      <w:proofErr w:type="spellEnd"/>
      <w:r>
        <w:t xml:space="preserve"> per-scenario sinks: NFS ≈ 80, BES ≈ 28 </w:t>
      </w:r>
      <w:proofErr w:type="spellStart"/>
      <w:r>
        <w:t>MtCO</w:t>
      </w:r>
      <w:proofErr w:type="spellEnd"/>
      <w:r>
        <w:t xml:space="preserve">₂ yr⁻¹; BDS largest). </w:t>
      </w:r>
      <w:r w:rsidR="00CD6860">
        <w:rPr>
          <w:b/>
        </w:rPr>
        <w:t>I would suggest that c</w:t>
      </w:r>
      <w:r>
        <w:rPr>
          <w:b/>
        </w:rPr>
        <w:t>losing this gap is the core scientific motivation for the next phase.</w:t>
      </w:r>
    </w:p>
    <w:p w14:paraId="587B1153" w14:textId="77777777" w:rsidR="00B51423" w:rsidRDefault="00B51423">
      <w:pPr>
        <w:pBdr>
          <w:bottom w:val="single" w:sz="6" w:space="1" w:color="C8D2CB"/>
        </w:pBdr>
        <w:spacing w:before="40" w:after="120"/>
      </w:pPr>
    </w:p>
    <w:p w14:paraId="04547473" w14:textId="77777777" w:rsidR="00B51423" w:rsidRDefault="00000000">
      <w:pPr>
        <w:pStyle w:val="Heading1"/>
      </w:pPr>
      <w:r>
        <w:t>3. Research questions</w:t>
      </w:r>
    </w:p>
    <w:p w14:paraId="37040458" w14:textId="77777777" w:rsidR="00B51423" w:rsidRDefault="00000000">
      <w:pPr>
        <w:pStyle w:val="ListBullet"/>
      </w:pPr>
      <w:r>
        <w:rPr>
          <w:b/>
        </w:rPr>
        <w:t>RQ1 — Management.</w:t>
      </w:r>
      <w:r>
        <w:t xml:space="preserve"> How do contrasting forest-management regimes reshape the </w:t>
      </w:r>
      <w:r>
        <w:rPr>
          <w:i/>
        </w:rPr>
        <w:t>dynamic</w:t>
      </w:r>
      <w:r>
        <w:t xml:space="preserve"> Finnish wood supply curve (quantity, quality, marginal cost, 2025–2060), when derived from a forest model (G4M) rather than a static potential database?</w:t>
      </w:r>
    </w:p>
    <w:p w14:paraId="30277006" w14:textId="77777777" w:rsidR="00B51423" w:rsidRDefault="00000000">
      <w:pPr>
        <w:pStyle w:val="ListBullet"/>
      </w:pPr>
      <w:r>
        <w:rPr>
          <w:b/>
        </w:rPr>
        <w:t>RQ2 — Sink coupling.</w:t>
      </w:r>
      <w:r>
        <w:t xml:space="preserve"> When the </w:t>
      </w:r>
      <w:r>
        <w:rPr>
          <w:b/>
        </w:rPr>
        <w:t>forest carbon balance</w:t>
      </w:r>
      <w:r>
        <w:t xml:space="preserve"> (sink/source and HWP) is added to the national GHG budget, how does the optimal energy mix and the cost of deep </w:t>
      </w:r>
      <w:proofErr w:type="spellStart"/>
      <w:r>
        <w:t>decarbonisation</w:t>
      </w:r>
      <w:proofErr w:type="spellEnd"/>
      <w:r>
        <w:t xml:space="preserve"> change across management scenarios — and does the ranking of S1/S2/S3 on climate grounds change?</w:t>
      </w:r>
    </w:p>
    <w:p w14:paraId="740157AA" w14:textId="3F3810CB" w:rsidR="00B51423" w:rsidRDefault="00000000">
      <w:pPr>
        <w:pStyle w:val="ListBullet"/>
      </w:pPr>
      <w:r>
        <w:rPr>
          <w:b/>
        </w:rPr>
        <w:t>RQ3 — Shocks.</w:t>
      </w:r>
      <w:r>
        <w:t xml:space="preserve"> How does a compound physical disturbance (windstorm → bark-beetle, with wildfire sensitivity) propagate into the energy system</w:t>
      </w:r>
      <w:r w:rsidR="00CD6860">
        <w:t xml:space="preserve">, </w:t>
      </w:r>
      <w:r>
        <w:t xml:space="preserve">through a short calamity-wood pulse, a temporary price depression, a multi-year supply deficit, </w:t>
      </w:r>
      <w:r>
        <w:rPr>
          <w:b/>
        </w:rPr>
        <w:t>and</w:t>
      </w:r>
      <w:r>
        <w:t xml:space="preserve"> a sink loss</w:t>
      </w:r>
      <w:r w:rsidR="00CD6860">
        <w:t xml:space="preserve">, </w:t>
      </w:r>
      <w:r>
        <w:t>and does it create stranded biomass-conversion assets or delay the transition?</w:t>
      </w:r>
    </w:p>
    <w:p w14:paraId="728D0B84" w14:textId="77777777" w:rsidR="00B51423" w:rsidRDefault="00000000">
      <w:pPr>
        <w:pStyle w:val="ListBullet"/>
      </w:pPr>
      <w:r>
        <w:rPr>
          <w:b/>
        </w:rPr>
        <w:t>RQ4 — Policy framing.</w:t>
      </w:r>
      <w:r>
        <w:t xml:space="preserve"> If the "neutral" baseline is replaced by a </w:t>
      </w:r>
      <w:r>
        <w:rPr>
          <w:b/>
        </w:rPr>
        <w:t>sink-</w:t>
      </w:r>
      <w:proofErr w:type="spellStart"/>
      <w:r>
        <w:rPr>
          <w:b/>
        </w:rPr>
        <w:t>maximising</w:t>
      </w:r>
      <w:proofErr w:type="spellEnd"/>
      <w:r>
        <w:rPr>
          <w:b/>
        </w:rPr>
        <w:t xml:space="preserve"> / LULUCF net-zero</w:t>
      </w:r>
      <w:r>
        <w:t xml:space="preserve"> scenario, what does economy-wide net-zero (energy + land) imply for the energy system, versus energy-only net-zero?</w:t>
      </w:r>
    </w:p>
    <w:p w14:paraId="27FFC369" w14:textId="75C2B3D7" w:rsidR="00B51423" w:rsidRDefault="00000000">
      <w:pPr>
        <w:pStyle w:val="ListBullet"/>
      </w:pPr>
      <w:r>
        <w:rPr>
          <w:b/>
        </w:rPr>
        <w:t>RQ5 — Scaling</w:t>
      </w:r>
      <w:r w:rsidR="00CD6860">
        <w:rPr>
          <w:b/>
        </w:rPr>
        <w:t xml:space="preserve">. </w:t>
      </w:r>
      <w:r>
        <w:t xml:space="preserve">Can the same supply-curve representation be scaled to Europe and to competing end-uses (construction/HWP) with </w:t>
      </w:r>
      <w:proofErr w:type="spellStart"/>
      <w:r>
        <w:t>BeWhere</w:t>
      </w:r>
      <w:proofErr w:type="spellEnd"/>
      <w:r>
        <w:t>, to study cross-sectoral biomass allocation?</w:t>
      </w:r>
    </w:p>
    <w:p w14:paraId="19F861BF" w14:textId="77777777" w:rsidR="00B51423" w:rsidRDefault="00B51423">
      <w:pPr>
        <w:pBdr>
          <w:bottom w:val="single" w:sz="6" w:space="1" w:color="C8D2CB"/>
        </w:pBdr>
        <w:spacing w:before="40" w:after="120"/>
      </w:pPr>
    </w:p>
    <w:p w14:paraId="68CAA49E" w14:textId="77777777" w:rsidR="00B51423" w:rsidRDefault="00000000">
      <w:pPr>
        <w:pStyle w:val="Heading1"/>
      </w:pPr>
      <w:r>
        <w:lastRenderedPageBreak/>
        <w:t>4. State of knowledge / existing literature</w:t>
      </w:r>
    </w:p>
    <w:p w14:paraId="411A1F22" w14:textId="7D71FB48" w:rsidR="00B51423" w:rsidRDefault="00000000">
      <w:r>
        <w:rPr>
          <w:b/>
        </w:rPr>
        <w:t>Supply-curve representation of biomass.</w:t>
      </w:r>
      <w:r>
        <w:t xml:space="preserve"> Colla et al. (2022)</w:t>
      </w:r>
      <w:r w:rsidR="00CD6860">
        <w:t xml:space="preserve">, </w:t>
      </w:r>
      <w:r>
        <w:t>origin- and quality-differentiated wood supply steps in a whole-energy-system model; basis of the present approach.</w:t>
      </w:r>
    </w:p>
    <w:p w14:paraId="22293E1C" w14:textId="77777777" w:rsidR="00B51423" w:rsidRDefault="00000000">
      <w:r>
        <w:rPr>
          <w:b/>
        </w:rPr>
        <w:t>Finnish forest policy and ecological ceilings.</w:t>
      </w:r>
      <w:r>
        <w:t xml:space="preserve"> </w:t>
      </w:r>
      <w:proofErr w:type="spellStart"/>
      <w:r>
        <w:t>Blattert</w:t>
      </w:r>
      <w:proofErr w:type="spellEnd"/>
      <w:r>
        <w:t xml:space="preserve"> et al. (2022, </w:t>
      </w:r>
      <w:r>
        <w:rPr>
          <w:i/>
        </w:rPr>
        <w:t>Forest Policy and Economics</w:t>
      </w:r>
      <w:r>
        <w:t xml:space="preserve">) translate three national strategies (BES/NFS/BDS) into quantitative management scenarios with explicit roundwood, bioenergy, deadwood, set-aside and </w:t>
      </w:r>
      <w:r>
        <w:rPr>
          <w:b/>
        </w:rPr>
        <w:t>carbon-sink</w:t>
      </w:r>
      <w:r>
        <w:t xml:space="preserve"> targets. Mönkkönen et al. (2024) define the ecologically safe harvest ceiling (~58–60% of maximum sustainable for Southern Finland). These anchor the S1/S2/S3 narratives and provide independent per-scenario sink estimates.</w:t>
      </w:r>
    </w:p>
    <w:p w14:paraId="23407B16" w14:textId="77777777" w:rsidR="00B51423" w:rsidRDefault="00000000">
      <w:r>
        <w:rPr>
          <w:b/>
        </w:rPr>
        <w:t>Forest carbon sink, HWP and substitution.</w:t>
      </w:r>
      <w:r>
        <w:t xml:space="preserve"> A large literature shows that the sink reduction from increased harvest often exceeds, in the short-to- medium term, the fossil substitution benefit of using the wood</w:t>
      </w:r>
      <w:r w:rsidR="00940947">
        <w:t>,</w:t>
      </w:r>
      <w:r>
        <w:t xml:space="preserve"> </w:t>
      </w:r>
      <w:r w:rsidR="00940947">
        <w:t>an</w:t>
      </w:r>
      <w:r>
        <w:t xml:space="preserve"> asymmetry th</w:t>
      </w:r>
      <w:r w:rsidR="00940947">
        <w:t>at</w:t>
      </w:r>
      <w:r>
        <w:t xml:space="preserve"> energy-only model cannot currently represent. Motivates RQ2/RQ4.</w:t>
      </w:r>
    </w:p>
    <w:p w14:paraId="7BBEB655" w14:textId="5D2DD8F2" w:rsidR="00B51423" w:rsidRDefault="00000000">
      <w:r>
        <w:rPr>
          <w:b/>
        </w:rPr>
        <w:t>Physical disturbances and timber markets.</w:t>
      </w:r>
      <w:r>
        <w:t xml:space="preserve"> </w:t>
      </w:r>
      <w:r w:rsidR="00CD6860">
        <w:t xml:space="preserve"> D</w:t>
      </w:r>
      <w:r>
        <w:t>isturbances now drive ~16% of European harvest (</w:t>
      </w:r>
      <w:proofErr w:type="spellStart"/>
      <w:r>
        <w:t>Patacca</w:t>
      </w:r>
      <w:proofErr w:type="spellEnd"/>
      <w:r>
        <w:t xml:space="preserve"> et al. 2023), depress prices 20–70%, and raise salvage costs 10–64% (</w:t>
      </w:r>
      <w:proofErr w:type="spellStart"/>
      <w:r>
        <w:t>Kärhä</w:t>
      </w:r>
      <w:proofErr w:type="spellEnd"/>
      <w:r>
        <w:t xml:space="preserve"> et al. 2018, Finland); the Czech bark-beetle calamity (</w:t>
      </w:r>
      <w:proofErr w:type="spellStart"/>
      <w:r>
        <w:t>Hlásny</w:t>
      </w:r>
      <w:proofErr w:type="spellEnd"/>
      <w:r>
        <w:t xml:space="preserve"> et al. 2021) is </w:t>
      </w:r>
      <w:r w:rsidR="002A414D">
        <w:t>a</w:t>
      </w:r>
      <w:r>
        <w:t xml:space="preserve"> reference compound-shock case. Finland's direct impacts are so far limited but its vulnerability is rising (Venäläinen et al. 2020).</w:t>
      </w:r>
    </w:p>
    <w:p w14:paraId="5E65D5AF" w14:textId="42E89980" w:rsidR="00B51423" w:rsidRDefault="00000000">
      <w:r>
        <w:rPr>
          <w:b/>
        </w:rPr>
        <w:t xml:space="preserve">IIASA forest and bioenergy models </w:t>
      </w:r>
    </w:p>
    <w:p w14:paraId="03C38FB1" w14:textId="77777777" w:rsidR="00B51423" w:rsidRDefault="00000000">
      <w:pPr>
        <w:pStyle w:val="ListBullet"/>
      </w:pPr>
      <w:r>
        <w:rPr>
          <w:b/>
        </w:rPr>
        <w:t>G4M (Global Forest Model)</w:t>
      </w:r>
      <w:r>
        <w:t xml:space="preserve"> — IIASA's geographically explicit forest model (Kindermann et al. 2008; Gusti 2010; Lauri, Forsell, di Fulvio et al.). It decides afforestation/deforestation and </w:t>
      </w:r>
      <w:proofErr w:type="spellStart"/>
      <w:r>
        <w:rPr>
          <w:b/>
        </w:rPr>
        <w:t>optimises</w:t>
      </w:r>
      <w:proofErr w:type="spellEnd"/>
      <w:r>
        <w:rPr>
          <w:b/>
        </w:rPr>
        <w:t xml:space="preserve"> management</w:t>
      </w:r>
      <w:r>
        <w:t xml:space="preserve"> (rotation, thinning, species, harvest intensity) from wood prices and costs, and reports </w:t>
      </w:r>
      <w:r>
        <w:rPr>
          <w:b/>
        </w:rPr>
        <w:t>harvestable wood by assortment</w:t>
      </w:r>
      <w:r>
        <w:t xml:space="preserve"> (sawlogs, pulpwood, residues, fuelwood) </w:t>
      </w:r>
      <w:r>
        <w:rPr>
          <w:b/>
        </w:rPr>
        <w:t>and the full carbon account</w:t>
      </w:r>
      <w:r>
        <w:t xml:space="preserve"> (living biomass, deadwood, soil, HWP) and </w:t>
      </w:r>
      <w:r>
        <w:rPr>
          <w:b/>
        </w:rPr>
        <w:t>net LULUCF CO₂ flux</w:t>
      </w:r>
      <w:r>
        <w:t xml:space="preserve">. It is the forest module in </w:t>
      </w:r>
      <w:proofErr w:type="spellStart"/>
      <w:r>
        <w:t>ForestNavigator</w:t>
      </w:r>
      <w:proofErr w:type="spellEnd"/>
      <w:r>
        <w:t xml:space="preserve"> and is routinely run for Finland within pan-European setups. </w:t>
      </w:r>
      <w:r>
        <w:rPr>
          <w:i/>
        </w:rPr>
        <w:t>(Exact Finnish resolution and I/O to be confirmed with the IIASA G4M team.)</w:t>
      </w:r>
    </w:p>
    <w:p w14:paraId="006C291C" w14:textId="77777777" w:rsidR="00B51423" w:rsidRDefault="00000000">
      <w:pPr>
        <w:pStyle w:val="ListBullet"/>
      </w:pPr>
      <w:r>
        <w:rPr>
          <w:b/>
        </w:rPr>
        <w:t>Disturbance modules</w:t>
      </w:r>
      <w:r>
        <w:t xml:space="preserve"> — </w:t>
      </w:r>
      <w:proofErr w:type="spellStart"/>
      <w:r>
        <w:t>ForestNavigator</w:t>
      </w:r>
      <w:proofErr w:type="spellEnd"/>
      <w:r>
        <w:t xml:space="preserve"> D3.4 (</w:t>
      </w:r>
      <w:proofErr w:type="spellStart"/>
      <w:r>
        <w:t>Krasovskiy</w:t>
      </w:r>
      <w:proofErr w:type="spellEnd"/>
      <w:r>
        <w:t xml:space="preserve"> et al. 2025) assess disturbance impacts on forest mitigation potential (FLAM for wildfire; bark-beetle and wind modules). We propose to use G4M's disturbance-aware outputs for Finland rather than re-implementing a stand-level coupling.</w:t>
      </w:r>
    </w:p>
    <w:p w14:paraId="5071C64D" w14:textId="77777777" w:rsidR="00B51423" w:rsidRDefault="00000000">
      <w:pPr>
        <w:pStyle w:val="ListBullet"/>
      </w:pPr>
      <w:proofErr w:type="spellStart"/>
      <w:r>
        <w:rPr>
          <w:b/>
        </w:rPr>
        <w:t>BeWhere</w:t>
      </w:r>
      <w:proofErr w:type="spellEnd"/>
      <w:r>
        <w:t xml:space="preserve"> — IIASA's spatially explicit techno-economic </w:t>
      </w:r>
      <w:proofErr w:type="spellStart"/>
      <w:r>
        <w:t>optimisation</w:t>
      </w:r>
      <w:proofErr w:type="spellEnd"/>
      <w:r>
        <w:t xml:space="preserve"> (MILP) for biomass supply chains and plant siting, extended to forest-industry/construction uses (Leduc, Kraxner, </w:t>
      </w:r>
      <w:proofErr w:type="spellStart"/>
      <w:r>
        <w:t>Schipfer</w:t>
      </w:r>
      <w:proofErr w:type="spellEnd"/>
      <w:r>
        <w:t xml:space="preserve"> et al.). Candidate tool for the European, cross-sectoral extension (RQ5).</w:t>
      </w:r>
    </w:p>
    <w:p w14:paraId="37D15B7B" w14:textId="77777777" w:rsidR="00B51423" w:rsidRDefault="00B51423">
      <w:pPr>
        <w:pBdr>
          <w:bottom w:val="single" w:sz="6" w:space="1" w:color="C8D2CB"/>
        </w:pBdr>
        <w:spacing w:before="40" w:after="120"/>
      </w:pPr>
    </w:p>
    <w:p w14:paraId="75AF4503" w14:textId="77777777" w:rsidR="00B51423" w:rsidRDefault="00000000">
      <w:pPr>
        <w:pStyle w:val="Heading1"/>
      </w:pPr>
      <w:r>
        <w:t>5. Methodology — possibilities</w:t>
      </w:r>
    </w:p>
    <w:p w14:paraId="5FF7814B" w14:textId="77777777" w:rsidR="00B51423" w:rsidRDefault="00000000">
      <w:pPr>
        <w:pStyle w:val="Heading3"/>
      </w:pPr>
      <w:r>
        <w:t>5.A  Management-scenario supply curves from G4M (replaces the FORTRAN coupling)</w:t>
      </w:r>
    </w:p>
    <w:p w14:paraId="3528082B" w14:textId="589D7567" w:rsidR="00F51D72" w:rsidRDefault="00000000">
      <w:r>
        <w:rPr>
          <w:b/>
        </w:rPr>
        <w:t xml:space="preserve">What G4M </w:t>
      </w:r>
      <w:r w:rsidR="002A414D">
        <w:rPr>
          <w:b/>
        </w:rPr>
        <w:t xml:space="preserve">could </w:t>
      </w:r>
      <w:r>
        <w:rPr>
          <w:b/>
        </w:rPr>
        <w:t>replace.</w:t>
      </w:r>
      <w:r>
        <w:t xml:space="preserve"> In the working paper the per-category wood volumes were built three different ways, and only one is database-grounded: </w:t>
      </w:r>
      <w:r>
        <w:rPr>
          <w:b/>
        </w:rPr>
        <w:t>S2/NFS</w:t>
      </w:r>
      <w:r>
        <w:t xml:space="preserve"> is ENSPRESO-medium interpolated to 2035 at commodity-code level (~102 TWh); </w:t>
      </w:r>
      <w:r>
        <w:rPr>
          <w:b/>
        </w:rPr>
        <w:t>S1/BES</w:t>
      </w:r>
      <w:r>
        <w:t xml:space="preserve"> is a </w:t>
      </w:r>
      <w:proofErr w:type="spellStart"/>
      <w:r>
        <w:rPr>
          <w:i/>
        </w:rPr>
        <w:t>stylised</w:t>
      </w:r>
      <w:proofErr w:type="spellEnd"/>
      <w:r>
        <w:t xml:space="preserve"> +20% uniform scale-up of S2 (~122 TWh), since ENSPRESO-high is physically implausible for Finland and </w:t>
      </w:r>
      <w:proofErr w:type="spellStart"/>
      <w:r>
        <w:t>Blattert</w:t>
      </w:r>
      <w:proofErr w:type="spellEnd"/>
      <w:r>
        <w:t xml:space="preserve"> finds BES ≈ NFS in total harvest; </w:t>
      </w:r>
      <w:r>
        <w:rPr>
          <w:b/>
        </w:rPr>
        <w:t>S3/BDS</w:t>
      </w:r>
      <w:r>
        <w:t xml:space="preserve"> is the ENSPRESO-low value revised downward by ~46% (74 → 40 TWh) through an audit against Blattert, Mönkkönen and LUKE. The cross-scenario </w:t>
      </w:r>
      <w:r w:rsidRPr="002A414D">
        <w:rPr>
          <w:iCs/>
        </w:rPr>
        <w:t>volume</w:t>
      </w:r>
      <w:r>
        <w:t xml:space="preserve"> differences </w:t>
      </w:r>
      <w:r w:rsidR="002A414D">
        <w:t xml:space="preserve">, </w:t>
      </w:r>
      <w:r>
        <w:t>which drive the paper's headline result</w:t>
      </w:r>
      <w:r w:rsidR="002A414D">
        <w:t xml:space="preserve">, </w:t>
      </w:r>
      <w:r>
        <w:t xml:space="preserve">rest largely on assumptions rather than measurement. </w:t>
      </w:r>
      <w:r w:rsidR="002A414D">
        <w:t>Probably, t</w:t>
      </w:r>
      <w:r>
        <w:t xml:space="preserve">he most valuable contribution of G4M is to put physical, assortment-level ground under exactly these numbers, and in particular to derive the energy-available volume as the residual </w:t>
      </w:r>
      <w:r>
        <w:rPr>
          <w:i/>
        </w:rPr>
        <w:t>after</w:t>
      </w:r>
      <w:r>
        <w:t xml:space="preserve"> industrial roundwood demand under each regime.</w:t>
      </w:r>
    </w:p>
    <w:p w14:paraId="5BCE1F01" w14:textId="3B8B7261" w:rsidR="00F51D72" w:rsidRDefault="00000000">
      <w:r>
        <w:rPr>
          <w:b/>
        </w:rPr>
        <w:t>How the S3 ceiling was scaled from Mönkkönen</w:t>
      </w:r>
      <w:r w:rsidR="002A414D">
        <w:rPr>
          <w:b/>
        </w:rPr>
        <w:t xml:space="preserve">, </w:t>
      </w:r>
      <w:r>
        <w:rPr>
          <w:b/>
        </w:rPr>
        <w:t>the chain G4M would replace.</w:t>
      </w:r>
      <w:r>
        <w:t xml:space="preserve"> Mönkkönen et al. (2024) give a </w:t>
      </w:r>
      <w:r>
        <w:rPr>
          <w:i/>
        </w:rPr>
        <w:t>percentage</w:t>
      </w:r>
      <w:r>
        <w:t xml:space="preserve"> ceiling for Southern Finland only: the ecologically safe harvest is ~58–60% of the maximum economically sustainable level (current harvest ≈ 96%). Turning that into the S3 wood volumes took a two-stage manual scaling. </w:t>
      </w:r>
      <w:r>
        <w:rPr>
          <w:b/>
        </w:rPr>
        <w:t>Stage 1 (% → national harvest):</w:t>
      </w:r>
      <w:r>
        <w:t xml:space="preserve"> anchor on the 2018 roundwood harvest (78.2 Mm³), back out the maximum sustainable (78.2 / 0.96 ≈ 81 Mm³/yr), and apply the 60% ceiling (≈ 49 Mm³/yr) — extrapolating the Southern-Finland ratio to the whole country. </w:t>
      </w:r>
      <w:r>
        <w:rPr>
          <w:b/>
        </w:rPr>
        <w:t>Stage 2 (harvest → energy residues):</w:t>
      </w:r>
      <w:r>
        <w:t xml:space="preserve"> take the logging-residue fraction of merchantable volume (~15–20% → ~8.6 Mm³ technical), then a conservation-regime collection efficiency of 30–40% (≈ 2.6–3.4 Mm³ ≈ 3.9–5.1 TWh at 1.5 MWh/m³), which sets the S3 logging-residue step </w:t>
      </w:r>
      <w:r>
        <w:rPr>
          <w:rFonts w:ascii="Consolas" w:hAnsi="Consolas"/>
          <w:sz w:val="18"/>
        </w:rPr>
        <w:t>WOOD_FI2</w:t>
      </w:r>
      <w:r>
        <w:t xml:space="preserve"> at 6 TWh. The steep reduction comes from Stage 2, not Stage 1. This hand-built chain</w:t>
      </w:r>
      <w:r w:rsidR="002A414D">
        <w:t>,</w:t>
      </w:r>
      <w:r>
        <w:t xml:space="preserve"> percentage ceiling → national volume → residue fraction → collection efficiency</w:t>
      </w:r>
      <w:r w:rsidR="002A414D">
        <w:t>,</w:t>
      </w:r>
      <w:r>
        <w:t xml:space="preserve"> is exactly what G4M would replace with a physically modelled, assortment-level harvest under each management regime.</w:t>
      </w:r>
    </w:p>
    <w:p w14:paraId="0D884AD9" w14:textId="334FD447" w:rsidR="00B51423" w:rsidRDefault="00000000">
      <w:r>
        <w:lastRenderedPageBreak/>
        <w:t xml:space="preserve">For each management scenario and climate pathway, run G4M for Finland over 2025–2060 and extract, per year and </w:t>
      </w:r>
      <w:proofErr w:type="spellStart"/>
      <w:r w:rsidR="002A414D">
        <w:t>nationnaly</w:t>
      </w:r>
      <w:proofErr w:type="spellEnd"/>
      <w:r w:rsidR="002A414D">
        <w:t>:</w:t>
      </w:r>
    </w:p>
    <w:p w14:paraId="40AC265F" w14:textId="77777777" w:rsidR="00B51423" w:rsidRDefault="00000000">
      <w:pPr>
        <w:pStyle w:val="ListBullet"/>
      </w:pPr>
      <w:r>
        <w:t>harvestable volume by assortment (sawlogs, pulpwood, logging residues, fuelwood, stumps);</w:t>
      </w:r>
    </w:p>
    <w:p w14:paraId="2748E58D" w14:textId="77777777" w:rsidR="00B51423" w:rsidRDefault="00000000">
      <w:pPr>
        <w:pStyle w:val="ListBullet"/>
      </w:pPr>
      <w:r>
        <w:t>fractions ecologically available after deadwood/residue-retention rules (scenario-specific);</w:t>
      </w:r>
    </w:p>
    <w:p w14:paraId="78C0AAF8" w14:textId="77777777" w:rsidR="002A414D" w:rsidRDefault="00000000" w:rsidP="002A414D">
      <w:pPr>
        <w:pStyle w:val="ListBullet"/>
      </w:pPr>
      <w:r>
        <w:t xml:space="preserve">the </w:t>
      </w:r>
      <w:r w:rsidRPr="002A414D">
        <w:rPr>
          <w:b/>
        </w:rPr>
        <w:t>net forest carbon flux</w:t>
      </w:r>
      <w:r>
        <w:t xml:space="preserve"> (growing-stock change + deadwood + soil + HWP), i.e. the LULUCF term </w:t>
      </w:r>
    </w:p>
    <w:p w14:paraId="4E1BF666" w14:textId="77777777" w:rsidR="002A414D" w:rsidRDefault="002A414D" w:rsidP="002A414D">
      <w:pPr>
        <w:pStyle w:val="ListBullet"/>
        <w:numPr>
          <w:ilvl w:val="0"/>
          <w:numId w:val="0"/>
        </w:numPr>
        <w:ind w:left="360"/>
      </w:pPr>
    </w:p>
    <w:p w14:paraId="0432E7CB" w14:textId="588B3C8F" w:rsidR="00B51423" w:rsidRDefault="00000000" w:rsidP="002A414D">
      <w:pPr>
        <w:pStyle w:val="ListBullet"/>
        <w:numPr>
          <w:ilvl w:val="0"/>
          <w:numId w:val="0"/>
        </w:numPr>
      </w:pPr>
      <w:r>
        <w:t xml:space="preserve">Convert assortments to the existing </w:t>
      </w:r>
      <w:r w:rsidRPr="002A414D">
        <w:rPr>
          <w:rFonts w:ascii="Consolas" w:hAnsi="Consolas"/>
          <w:sz w:val="18"/>
        </w:rPr>
        <w:t>WOOD_FI1…FI4</w:t>
      </w:r>
      <w:r>
        <w:t xml:space="preserve"> steps (</w:t>
      </w:r>
      <w:proofErr w:type="spellStart"/>
      <w:r>
        <w:t>volume→energy</w:t>
      </w:r>
      <w:proofErr w:type="spellEnd"/>
      <w:r>
        <w:t xml:space="preserve"> factors</w:t>
      </w:r>
      <w:r w:rsidR="002A414D">
        <w:t>, which I have partly done</w:t>
      </w:r>
      <w:r>
        <w:t>), with marginal costs from Finnish statistics (LUKE)</w:t>
      </w:r>
      <w:r w:rsidR="002A414D">
        <w:t xml:space="preserve"> and </w:t>
      </w:r>
      <w:r w:rsidR="002A414D">
        <w:t>RED II Annex VI</w:t>
      </w:r>
      <w:r>
        <w:t xml:space="preserve">. The result is a </w:t>
      </w:r>
      <w:r w:rsidRPr="002A414D">
        <w:rPr>
          <w:b/>
        </w:rPr>
        <w:t>dynamic, internally consistent</w:t>
      </w:r>
      <w:r>
        <w:t xml:space="preserve"> replacement for the current static ENSPRESO curves, keeping the </w:t>
      </w:r>
      <w:proofErr w:type="spellStart"/>
      <w:r>
        <w:t>EnergyScope</w:t>
      </w:r>
      <w:proofErr w:type="spellEnd"/>
      <w:r>
        <w:t xml:space="preserve"> implementation unchanged (no </w:t>
      </w:r>
      <w:r w:rsidR="002A414D">
        <w:t xml:space="preserve">model </w:t>
      </w:r>
      <w:r>
        <w:t>change needed for the curves themselves).</w:t>
      </w:r>
    </w:p>
    <w:p w14:paraId="2FF3049B" w14:textId="369BE370" w:rsidR="00F51D72" w:rsidRDefault="00000000">
      <w:r>
        <w:rPr>
          <w:b/>
        </w:rPr>
        <w:t>One structural caveat for the mapping.</w:t>
      </w:r>
      <w:r>
        <w:t xml:space="preserve"> </w:t>
      </w:r>
      <w:r w:rsidR="002A414D">
        <w:t xml:space="preserve">If I am not </w:t>
      </w:r>
      <w:proofErr w:type="spellStart"/>
      <w:r w:rsidR="002A414D">
        <w:t>wron</w:t>
      </w:r>
      <w:proofErr w:type="spellEnd"/>
      <w:r w:rsidR="002A414D">
        <w:t xml:space="preserve"> </w:t>
      </w:r>
      <w:r>
        <w:t xml:space="preserve">G4M's forest-gate assortments (sawlogs, pulpwood, logging residues, fuelwood, stumps) do </w:t>
      </w:r>
      <w:r>
        <w:rPr>
          <w:b/>
        </w:rPr>
        <w:t>not</w:t>
      </w:r>
      <w:r>
        <w:t xml:space="preserve"> directly include the mill by-product stream </w:t>
      </w:r>
      <w:r w:rsidR="002A414D">
        <w:t xml:space="preserve">such as </w:t>
      </w:r>
      <w:r>
        <w:t>black liquor, bark, sawdust</w:t>
      </w:r>
      <w:r w:rsidR="002A414D">
        <w:t>,</w:t>
      </w:r>
      <w:r>
        <w:t xml:space="preserve"> which is </w:t>
      </w:r>
      <w:r>
        <w:rPr>
          <w:rFonts w:ascii="Consolas" w:hAnsi="Consolas"/>
          <w:sz w:val="18"/>
        </w:rPr>
        <w:t>WOOD_FI1</w:t>
      </w:r>
      <w:r>
        <w:t xml:space="preserve">, the cheapest step and ~45% of domestic supply. FI1 is driven by industrial </w:t>
      </w:r>
      <w:r>
        <w:rPr>
          <w:i/>
        </w:rPr>
        <w:t>processing</w:t>
      </w:r>
      <w:r>
        <w:t xml:space="preserve"> throughput, not by forest-energy harvest decisions. The coupling must therefore either (</w:t>
      </w:r>
      <w:proofErr w:type="spellStart"/>
      <w:r>
        <w:t>i</w:t>
      </w:r>
      <w:proofErr w:type="spellEnd"/>
      <w:r>
        <w:t>) add a processing-yield bridge from G4M's industrial-roundwood harvest to by-product volumes, or (ii) keep FI1 from national statistics (LUKE) and use G4M only for the harvest-driven steps FI2–FI4. This choice should be settled explicitly with the G4M team.</w:t>
      </w:r>
    </w:p>
    <w:p w14:paraId="19046815" w14:textId="77777777" w:rsidR="00B51423" w:rsidRDefault="00000000">
      <w:r>
        <w:t xml:space="preserve">Proposed scenarios (aligned with </w:t>
      </w:r>
      <w:proofErr w:type="spellStart"/>
      <w:r>
        <w:t>Blattert</w:t>
      </w:r>
      <w:proofErr w:type="spellEnd"/>
      <w:r>
        <w:t xml:space="preserve"> / Mönkkönen / </w:t>
      </w:r>
      <w:proofErr w:type="spellStart"/>
      <w:r>
        <w:t>ForestNavigator</w:t>
      </w:r>
      <w:proofErr w:type="spellEnd"/>
      <w:r>
        <w:t>), each under RCP4.5 (GWL2) and RCP8.5 (GWL3):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61"/>
        <w:gridCol w:w="3361"/>
        <w:gridCol w:w="3360"/>
      </w:tblGrid>
      <w:tr w:rsidR="00B51423" w14:paraId="72A6ADCA" w14:textId="77777777">
        <w:tc>
          <w:tcPr>
            <w:tcW w:w="3364" w:type="dxa"/>
            <w:shd w:val="clear" w:color="auto" w:fill="E9F0EA"/>
          </w:tcPr>
          <w:p w14:paraId="5919A2D4" w14:textId="77777777" w:rsidR="00B51423" w:rsidRDefault="00000000">
            <w:pPr>
              <w:spacing w:after="20"/>
            </w:pPr>
            <w:r>
              <w:rPr>
                <w:b/>
              </w:rPr>
              <w:t>Label</w:t>
            </w:r>
          </w:p>
        </w:tc>
        <w:tc>
          <w:tcPr>
            <w:tcW w:w="3364" w:type="dxa"/>
            <w:shd w:val="clear" w:color="auto" w:fill="E9F0EA"/>
          </w:tcPr>
          <w:p w14:paraId="47887781" w14:textId="77777777" w:rsidR="00B51423" w:rsidRDefault="00000000">
            <w:pPr>
              <w:spacing w:after="20"/>
            </w:pPr>
            <w:r>
              <w:rPr>
                <w:b/>
              </w:rPr>
              <w:t>Management logic</w:t>
            </w:r>
          </w:p>
        </w:tc>
        <w:tc>
          <w:tcPr>
            <w:tcW w:w="3364" w:type="dxa"/>
            <w:shd w:val="clear" w:color="auto" w:fill="E9F0EA"/>
          </w:tcPr>
          <w:p w14:paraId="595D7D8F" w14:textId="77777777" w:rsidR="00B51423" w:rsidRDefault="00000000">
            <w:pPr>
              <w:spacing w:after="20"/>
            </w:pPr>
            <w:r>
              <w:rPr>
                <w:b/>
              </w:rPr>
              <w:t>Harvest level</w:t>
            </w:r>
          </w:p>
        </w:tc>
      </w:tr>
      <w:tr w:rsidR="00B51423" w14:paraId="0D39F682" w14:textId="77777777">
        <w:tc>
          <w:tcPr>
            <w:tcW w:w="3364" w:type="dxa"/>
          </w:tcPr>
          <w:p w14:paraId="7F660C39" w14:textId="77777777" w:rsidR="00B51423" w:rsidRDefault="00000000">
            <w:pPr>
              <w:spacing w:after="20"/>
            </w:pPr>
            <w:r>
              <w:rPr>
                <w:b/>
              </w:rPr>
              <w:t>S1 Intensive</w:t>
            </w:r>
          </w:p>
        </w:tc>
        <w:tc>
          <w:tcPr>
            <w:tcW w:w="3364" w:type="dxa"/>
          </w:tcPr>
          <w:p w14:paraId="08EFF201" w14:textId="77777777" w:rsidR="00B51423" w:rsidRDefault="00000000">
            <w:pPr>
              <w:spacing w:after="20"/>
            </w:pPr>
            <w:proofErr w:type="spellStart"/>
            <w:r>
              <w:t>maximise</w:t>
            </w:r>
            <w:proofErr w:type="spellEnd"/>
            <w:r>
              <w:t xml:space="preserve"> roundwood + energy residues; rotation forestry</w:t>
            </w:r>
          </w:p>
        </w:tc>
        <w:tc>
          <w:tcPr>
            <w:tcW w:w="3364" w:type="dxa"/>
          </w:tcPr>
          <w:p w14:paraId="7823B73F" w14:textId="77777777" w:rsidR="00B51423" w:rsidRDefault="00000000">
            <w:pPr>
              <w:spacing w:after="20"/>
            </w:pPr>
            <w:r>
              <w:t>~96% of sustainable ceiling</w:t>
            </w:r>
          </w:p>
        </w:tc>
      </w:tr>
      <w:tr w:rsidR="00B51423" w14:paraId="10E8DF40" w14:textId="77777777">
        <w:tc>
          <w:tcPr>
            <w:tcW w:w="3364" w:type="dxa"/>
          </w:tcPr>
          <w:p w14:paraId="03B28E34" w14:textId="77777777" w:rsidR="00B51423" w:rsidRDefault="00000000">
            <w:pPr>
              <w:spacing w:after="20"/>
            </w:pPr>
            <w:r>
              <w:rPr>
                <w:b/>
              </w:rPr>
              <w:t>S2 Balanced</w:t>
            </w:r>
          </w:p>
        </w:tc>
        <w:tc>
          <w:tcPr>
            <w:tcW w:w="3364" w:type="dxa"/>
          </w:tcPr>
          <w:p w14:paraId="74062479" w14:textId="77777777" w:rsidR="00B51423" w:rsidRDefault="00000000">
            <w:pPr>
              <w:spacing w:after="20"/>
            </w:pPr>
            <w:r>
              <w:t>NFS targets; moderate biodiversity measures; mixed rotation/CCF</w:t>
            </w:r>
          </w:p>
        </w:tc>
        <w:tc>
          <w:tcPr>
            <w:tcW w:w="3364" w:type="dxa"/>
          </w:tcPr>
          <w:p w14:paraId="2AB23004" w14:textId="77777777" w:rsidR="00B51423" w:rsidRDefault="00000000">
            <w:pPr>
              <w:spacing w:after="20"/>
            </w:pPr>
            <w:r>
              <w:t>~80%</w:t>
            </w:r>
          </w:p>
        </w:tc>
      </w:tr>
      <w:tr w:rsidR="00B51423" w14:paraId="52DB9E00" w14:textId="77777777">
        <w:tc>
          <w:tcPr>
            <w:tcW w:w="3364" w:type="dxa"/>
          </w:tcPr>
          <w:p w14:paraId="50C94CE7" w14:textId="77777777" w:rsidR="00B51423" w:rsidRDefault="00000000">
            <w:pPr>
              <w:spacing w:after="20"/>
            </w:pPr>
            <w:r>
              <w:rPr>
                <w:b/>
              </w:rPr>
              <w:t>S3 Conservation</w:t>
            </w:r>
          </w:p>
        </w:tc>
        <w:tc>
          <w:tcPr>
            <w:tcW w:w="3364" w:type="dxa"/>
          </w:tcPr>
          <w:p w14:paraId="55980BAA" w14:textId="77777777" w:rsidR="00B51423" w:rsidRDefault="00000000">
            <w:pPr>
              <w:spacing w:after="20"/>
            </w:pPr>
            <w:r>
              <w:t>biodiversity-first; extended rotations, CCF, set-aside, deadwood retention</w:t>
            </w:r>
          </w:p>
        </w:tc>
        <w:tc>
          <w:tcPr>
            <w:tcW w:w="3364" w:type="dxa"/>
          </w:tcPr>
          <w:p w14:paraId="4504591E" w14:textId="77777777" w:rsidR="00B51423" w:rsidRDefault="00000000">
            <w:pPr>
              <w:spacing w:after="20"/>
            </w:pPr>
            <w:r>
              <w:t>~58–60%</w:t>
            </w:r>
          </w:p>
        </w:tc>
      </w:tr>
      <w:tr w:rsidR="00B51423" w14:paraId="06C385AA" w14:textId="77777777">
        <w:tc>
          <w:tcPr>
            <w:tcW w:w="3364" w:type="dxa"/>
          </w:tcPr>
          <w:p w14:paraId="4E49587D" w14:textId="77777777" w:rsidR="00B51423" w:rsidRDefault="00000000">
            <w:pPr>
              <w:spacing w:after="20"/>
            </w:pPr>
            <w:r>
              <w:rPr>
                <w:b/>
              </w:rPr>
              <w:t>S0 Sink-max / net-zero</w:t>
            </w:r>
            <w:r>
              <w:t xml:space="preserve"> </w:t>
            </w:r>
            <w:r>
              <w:rPr>
                <w:i/>
              </w:rPr>
              <w:t>(new — see 5.C)</w:t>
            </w:r>
          </w:p>
        </w:tc>
        <w:tc>
          <w:tcPr>
            <w:tcW w:w="3364" w:type="dxa"/>
          </w:tcPr>
          <w:p w14:paraId="6ED4A23A" w14:textId="77777777" w:rsidR="00B51423" w:rsidRDefault="00000000">
            <w:pPr>
              <w:spacing w:after="20"/>
            </w:pPr>
            <w:proofErr w:type="spellStart"/>
            <w:r>
              <w:t>minimise</w:t>
            </w:r>
            <w:proofErr w:type="spellEnd"/>
            <w:r>
              <w:t xml:space="preserve"> harvest / </w:t>
            </w:r>
            <w:proofErr w:type="spellStart"/>
            <w:r>
              <w:t>maximise</w:t>
            </w:r>
            <w:proofErr w:type="spellEnd"/>
            <w:r>
              <w:t xml:space="preserve"> sink subject to meeting wood floors</w:t>
            </w:r>
          </w:p>
        </w:tc>
        <w:tc>
          <w:tcPr>
            <w:tcW w:w="3364" w:type="dxa"/>
          </w:tcPr>
          <w:p w14:paraId="6E607DB5" w14:textId="77777777" w:rsidR="00B51423" w:rsidRDefault="00000000">
            <w:pPr>
              <w:spacing w:after="20"/>
            </w:pPr>
            <w:r>
              <w:t>lowest</w:t>
            </w:r>
          </w:p>
        </w:tc>
      </w:tr>
    </w:tbl>
    <w:p w14:paraId="15EB7672" w14:textId="77777777" w:rsidR="00B51423" w:rsidRDefault="00B51423">
      <w:pPr>
        <w:spacing w:after="40"/>
      </w:pPr>
    </w:p>
    <w:p w14:paraId="052BA2EC" w14:textId="77777777" w:rsidR="00B51423" w:rsidRDefault="00000000">
      <w:pPr>
        <w:pStyle w:val="Heading3"/>
      </w:pPr>
      <w:r>
        <w:t>5.B  Disturbance-shock supply curves from G4M + disturbance modules</w:t>
      </w:r>
    </w:p>
    <w:p w14:paraId="7615F15A" w14:textId="77777777" w:rsidR="00B51423" w:rsidRDefault="00000000">
      <w:r>
        <w:t xml:space="preserve">Use G4M's disturbance-aware runs (or G4M + FLAM/bark-beetle/wind outputs from </w:t>
      </w:r>
      <w:proofErr w:type="spellStart"/>
      <w:r>
        <w:t>ForestNavigator</w:t>
      </w:r>
      <w:proofErr w:type="spellEnd"/>
      <w:r>
        <w:t xml:space="preserve">) to build </w:t>
      </w:r>
      <w:r>
        <w:rPr>
          <w:b/>
        </w:rPr>
        <w:t>time-profiled</w:t>
      </w:r>
      <w:r>
        <w:t xml:space="preserve"> supply curves around a compound event, rather than a single lower ceiling. A disturbance scenario produces three superimposed effects on the curve:</w:t>
      </w:r>
    </w:p>
    <w:p w14:paraId="42D8FDAF" w14:textId="77777777" w:rsidR="00B51423" w:rsidRDefault="00000000">
      <w:r>
        <w:t xml:space="preserve">1. </w:t>
      </w:r>
      <w:r>
        <w:rPr>
          <w:b/>
        </w:rPr>
        <w:t>Calamity-wood pulse (Q3):</w:t>
      </w:r>
      <w:r>
        <w:t xml:space="preserve"> a large, cheap, time-limited (≈18–24 month) salvage volume, quality- </w:t>
      </w:r>
      <w:proofErr w:type="spellStart"/>
      <w:r>
        <w:t>penalised</w:t>
      </w:r>
      <w:proofErr w:type="spellEnd"/>
      <w:r>
        <w:t xml:space="preserve"> (blue-stain, moisture 20–55%, LHV −10…−25%), usable in direct combustion only.</w:t>
      </w:r>
    </w:p>
    <w:p w14:paraId="1989034F" w14:textId="77777777" w:rsidR="00B51423" w:rsidRDefault="00000000">
      <w:r>
        <w:t xml:space="preserve">2. </w:t>
      </w:r>
      <w:r>
        <w:rPr>
          <w:b/>
        </w:rPr>
        <w:t>Structural supply deficit:</w:t>
      </w:r>
      <w:r>
        <w:t xml:space="preserve"> reduced </w:t>
      </w:r>
      <w:r>
        <w:rPr>
          <w:rFonts w:ascii="Consolas" w:hAnsi="Consolas"/>
          <w:sz w:val="18"/>
        </w:rPr>
        <w:t>WOOD_FI1/FI2</w:t>
      </w:r>
      <w:r>
        <w:t xml:space="preserve"> availability for 10–15 years from depleted cohorts and damaged area out of rotation.</w:t>
      </w:r>
    </w:p>
    <w:p w14:paraId="3850B448" w14:textId="77777777" w:rsidR="00B51423" w:rsidRDefault="00000000">
      <w:r>
        <w:t xml:space="preserve">3. </w:t>
      </w:r>
      <w:r>
        <w:rPr>
          <w:b/>
        </w:rPr>
        <w:t>Sink loss:</w:t>
      </w:r>
      <w:r>
        <w:t xml:space="preserve"> an immediate LULUCF emission from killed biomass and foregone future growth.</w:t>
      </w:r>
    </w:p>
    <w:p w14:paraId="0B210C0C" w14:textId="77777777" w:rsidR="00B51423" w:rsidRDefault="00000000">
      <w:r>
        <w:t xml:space="preserve">Energy-system response is studied as a </w:t>
      </w:r>
      <w:r>
        <w:rPr>
          <w:b/>
        </w:rPr>
        <w:t>pre-shock → post-shock</w:t>
      </w:r>
      <w:r>
        <w:t xml:space="preserve"> pair with </w:t>
      </w:r>
      <w:r>
        <w:rPr>
          <w:i/>
        </w:rPr>
        <w:t>constrained re-</w:t>
      </w:r>
      <w:proofErr w:type="spellStart"/>
      <w:r>
        <w:rPr>
          <w:i/>
        </w:rPr>
        <w:t>optimisation</w:t>
      </w:r>
      <w:proofErr w:type="spellEnd"/>
      <w:r>
        <w:t xml:space="preserve"> (investment lead times lock part of the pre-shock fleet via inherited lower bounds on installed capacity), to expose stranded-asset and transition-delay risks (RQ3).</w:t>
      </w:r>
    </w:p>
    <w:p w14:paraId="0DD7CC54" w14:textId="34E2E476" w:rsidR="00B51423" w:rsidRDefault="00000000">
      <w:pPr>
        <w:pStyle w:val="Heading3"/>
      </w:pPr>
      <w:r>
        <w:t xml:space="preserve">5.C  Coupling the forest carbon sink into </w:t>
      </w:r>
      <w:proofErr w:type="spellStart"/>
      <w:r>
        <w:t>EnergyScope</w:t>
      </w:r>
      <w:proofErr w:type="spellEnd"/>
    </w:p>
    <w:p w14:paraId="2AC66D30" w14:textId="2944B8CE" w:rsidR="00B51423" w:rsidRDefault="00000000">
      <w:r>
        <w:t xml:space="preserve">Make the national climate target a </w:t>
      </w:r>
      <w:r>
        <w:rPr>
          <w:b/>
        </w:rPr>
        <w:t>land–energy coupled budget</w:t>
      </w:r>
      <w:r>
        <w:t xml:space="preserve">. </w:t>
      </w:r>
      <w:r w:rsidR="0059483D">
        <w:t>I could r</w:t>
      </w:r>
      <w:r>
        <w:t>eplace the energy-only constraint</w:t>
      </w:r>
    </w:p>
    <w:p w14:paraId="19578688" w14:textId="77777777" w:rsidR="00B51423" w:rsidRDefault="00000000">
      <w:pPr>
        <w:pStyle w:val="CodeBlock"/>
        <w:jc w:val="center"/>
      </w:pPr>
      <w:r>
        <w:t xml:space="preserve">Σ[r] </w:t>
      </w:r>
      <w:proofErr w:type="spellStart"/>
      <w:r>
        <w:t>CO₂_net</w:t>
      </w:r>
      <w:proofErr w:type="spellEnd"/>
      <w:r>
        <w:t xml:space="preserve">[r] ≤ </w:t>
      </w:r>
      <w:proofErr w:type="spellStart"/>
      <w:r>
        <w:t>gwp_limit</w:t>
      </w:r>
      <w:proofErr w:type="spellEnd"/>
    </w:p>
    <w:p w14:paraId="4DD0DCCF" w14:textId="77777777" w:rsidR="00B51423" w:rsidRDefault="00000000">
      <w:r>
        <w:t>with</w:t>
      </w:r>
    </w:p>
    <w:p w14:paraId="60B3BD06" w14:textId="77777777" w:rsidR="00B51423" w:rsidRDefault="00000000">
      <w:pPr>
        <w:pStyle w:val="CodeBlock"/>
        <w:jc w:val="center"/>
      </w:pPr>
      <w:r>
        <w:t xml:space="preserve">Σ[r] </w:t>
      </w:r>
      <w:proofErr w:type="spellStart"/>
      <w:r>
        <w:t>CO₂_net</w:t>
      </w:r>
      <w:proofErr w:type="spellEnd"/>
      <w:r>
        <w:t xml:space="preserve">[r] - </w:t>
      </w:r>
      <w:proofErr w:type="spellStart"/>
      <w:r>
        <w:t>S_forest</w:t>
      </w:r>
      <w:proofErr w:type="spellEnd"/>
      <w:r>
        <w:t xml:space="preserve">(scenario, year, disturbance) [net sink from G4M, &lt;0 when a sink] ≤ </w:t>
      </w:r>
      <w:proofErr w:type="spellStart"/>
      <w:r>
        <w:t>gwp_limit</w:t>
      </w:r>
      <w:proofErr w:type="spellEnd"/>
      <w:r>
        <w:t>,</w:t>
      </w:r>
    </w:p>
    <w:p w14:paraId="6A67887C" w14:textId="77777777" w:rsidR="00B51423" w:rsidRDefault="00000000">
      <w:r>
        <w:t xml:space="preserve">where </w:t>
      </w:r>
      <w:proofErr w:type="spellStart"/>
      <w:r>
        <w:t>S_forest</w:t>
      </w:r>
      <w:proofErr w:type="spellEnd"/>
      <w:r>
        <w:t xml:space="preserve"> is an </w:t>
      </w:r>
      <w:r>
        <w:rPr>
          <w:b/>
        </w:rPr>
        <w:t>exogenous, scenario-dependent net forest/HWP CO₂ flux</w:t>
      </w:r>
      <w:r>
        <w:t xml:space="preserve"> supplied by G4M (a single national parameter per scenario-year, extendable to sub-regions). This is a small, transparent AMPL change (one parameter + </w:t>
      </w:r>
      <w:r>
        <w:lastRenderedPageBreak/>
        <w:t xml:space="preserve">one term in </w:t>
      </w:r>
      <w:proofErr w:type="spellStart"/>
      <w:r>
        <w:rPr>
          <w:rFonts w:ascii="Consolas" w:hAnsi="Consolas"/>
          <w:sz w:val="18"/>
        </w:rPr>
        <w:t>Minimum_GWP_reduction</w:t>
      </w:r>
      <w:proofErr w:type="spellEnd"/>
      <w:r>
        <w:t>) and it makes harvest intensity and disturbances act on the energy system through the sink, not only through wood availability. It enables:</w:t>
      </w:r>
    </w:p>
    <w:p w14:paraId="20EC002C" w14:textId="77777777" w:rsidR="00B51423" w:rsidRDefault="00000000">
      <w:pPr>
        <w:pStyle w:val="ListBullet"/>
      </w:pPr>
      <w:r>
        <w:rPr>
          <w:b/>
        </w:rPr>
        <w:t>RQ2:</w:t>
      </w:r>
      <w:r>
        <w:t xml:space="preserve"> does deep </w:t>
      </w:r>
      <w:proofErr w:type="spellStart"/>
      <w:r>
        <w:t>decarbonisation</w:t>
      </w:r>
      <w:proofErr w:type="spellEnd"/>
      <w:r>
        <w:t xml:space="preserve"> become </w:t>
      </w:r>
      <w:r>
        <w:rPr>
          <w:i/>
        </w:rPr>
        <w:t>cheaper</w:t>
      </w:r>
      <w:r>
        <w:t xml:space="preserve"> under conservation (large sink "credit") or does the energy-only penalty dominate?</w:t>
      </w:r>
    </w:p>
    <w:p w14:paraId="18CF6CE1" w14:textId="77777777" w:rsidR="00B51423" w:rsidRDefault="00000000">
      <w:pPr>
        <w:pStyle w:val="ListBullet"/>
      </w:pPr>
      <w:r>
        <w:rPr>
          <w:b/>
        </w:rPr>
        <w:t>RQ4 / new S0 scenario:</w:t>
      </w:r>
      <w:r>
        <w:t xml:space="preserve"> define net-zero over </w:t>
      </w:r>
      <w:r>
        <w:rPr>
          <w:b/>
        </w:rPr>
        <w:t>energy + land</w:t>
      </w:r>
      <w:r>
        <w:t xml:space="preserve"> (require </w:t>
      </w:r>
      <w:proofErr w:type="spellStart"/>
      <w:r>
        <w:t>Σ_r</w:t>
      </w:r>
      <w:proofErr w:type="spellEnd"/>
      <w:r>
        <w:t xml:space="preserve"> </w:t>
      </w:r>
      <w:proofErr w:type="spellStart"/>
      <w:r>
        <w:t>CO₂_net</w:t>
      </w:r>
      <w:proofErr w:type="spellEnd"/>
      <w:r>
        <w:t xml:space="preserve"> ≤ </w:t>
      </w:r>
      <w:proofErr w:type="spellStart"/>
      <w:r>
        <w:t>S_forest</w:t>
      </w:r>
      <w:proofErr w:type="spellEnd"/>
      <w:r>
        <w:t xml:space="preserve">), i.e. a </w:t>
      </w:r>
      <w:r>
        <w:rPr>
          <w:b/>
        </w:rPr>
        <w:t>sink-</w:t>
      </w:r>
      <w:proofErr w:type="spellStart"/>
      <w:r>
        <w:rPr>
          <w:b/>
        </w:rPr>
        <w:t>maximising</w:t>
      </w:r>
      <w:proofErr w:type="spellEnd"/>
      <w:r>
        <w:rPr>
          <w:b/>
        </w:rPr>
        <w:t xml:space="preserve"> / LULUCF-net-zero</w:t>
      </w:r>
      <w:r>
        <w:t xml:space="preserve"> baseline that replaces the current "neutral" S2 framing. This directly answers the user intent to "</w:t>
      </w:r>
      <w:proofErr w:type="spellStart"/>
      <w:r>
        <w:t>maximise</w:t>
      </w:r>
      <w:proofErr w:type="spellEnd"/>
      <w:r>
        <w:t xml:space="preserve"> the sink or ensure net zero."</w:t>
      </w:r>
    </w:p>
    <w:p w14:paraId="6890C5DC" w14:textId="0F914B13" w:rsidR="00B51423" w:rsidRDefault="00000000">
      <w:r>
        <w:rPr>
          <w:i/>
        </w:rPr>
        <w:t>Scope control:</w:t>
      </w:r>
      <w:r>
        <w:t xml:space="preserve"> </w:t>
      </w:r>
      <w:proofErr w:type="spellStart"/>
      <w:r>
        <w:t>S_forest</w:t>
      </w:r>
      <w:proofErr w:type="spellEnd"/>
      <w:r>
        <w:t xml:space="preserve"> is treated as an </w:t>
      </w:r>
      <w:r>
        <w:rPr>
          <w:b/>
        </w:rPr>
        <w:t>exogenous input from G4M</w:t>
      </w:r>
      <w:r>
        <w:t xml:space="preserve">, not </w:t>
      </w:r>
      <w:r w:rsidR="0059483D">
        <w:t>endogenized.</w:t>
      </w:r>
      <w:r>
        <w:t xml:space="preserve"> </w:t>
      </w:r>
      <w:proofErr w:type="spellStart"/>
      <w:r>
        <w:t>EnergyScope</w:t>
      </w:r>
      <w:proofErr w:type="spellEnd"/>
      <w:r>
        <w:t xml:space="preserve"> </w:t>
      </w:r>
      <w:r w:rsidR="0059483D">
        <w:t xml:space="preserve">model </w:t>
      </w:r>
      <w:r>
        <w:t xml:space="preserve">does not </w:t>
      </w:r>
      <w:proofErr w:type="spellStart"/>
      <w:r>
        <w:t>optimise</w:t>
      </w:r>
      <w:proofErr w:type="spellEnd"/>
      <w:r>
        <w:t xml:space="preserve"> forest management, it responds to it. This keeps the coupling one-way and tractable for a first paper, consistent with the open-question Q6 (LULUCF accounting treatment) carried over from the previous note.</w:t>
      </w:r>
    </w:p>
    <w:p w14:paraId="150365C3" w14:textId="77777777" w:rsidR="00B51423" w:rsidRDefault="00000000">
      <w:pPr>
        <w:pStyle w:val="Heading3"/>
      </w:pPr>
      <w:r>
        <w:t xml:space="preserve">5.D  European, cross-sectoral extension with </w:t>
      </w:r>
      <w:proofErr w:type="spellStart"/>
      <w:r>
        <w:t>BeWhere</w:t>
      </w:r>
      <w:proofErr w:type="spellEnd"/>
      <w:r>
        <w:t xml:space="preserve"> (collaboration track)</w:t>
      </w:r>
    </w:p>
    <w:p w14:paraId="61AFC60B" w14:textId="150283B9" w:rsidR="00B51423" w:rsidRDefault="00000000" w:rsidP="0059483D">
      <w:r>
        <w:t xml:space="preserve">As a parallel/follow-on track with </w:t>
      </w:r>
      <w:r>
        <w:rPr>
          <w:b/>
        </w:rPr>
        <w:t>Fabian Schipfer</w:t>
      </w:r>
      <w:r>
        <w:t xml:space="preserve"> and </w:t>
      </w:r>
      <w:r>
        <w:rPr>
          <w:b/>
        </w:rPr>
        <w:t>Shubham Tiwari</w:t>
      </w:r>
      <w:r>
        <w:t xml:space="preserve"> (IIASA), the quality-and-cost-differentiated supply-curve representation can be scaled from Finland to Europe and from energy to </w:t>
      </w:r>
      <w:r>
        <w:rPr>
          <w:b/>
        </w:rPr>
        <w:t>competing end-uses (construction / engineered wood / HWP)</w:t>
      </w:r>
      <w:r>
        <w:t xml:space="preserve"> using </w:t>
      </w:r>
      <w:proofErr w:type="spellStart"/>
      <w:r>
        <w:rPr>
          <w:b/>
        </w:rPr>
        <w:t>BeWhere</w:t>
      </w:r>
      <w:proofErr w:type="spellEnd"/>
      <w:r>
        <w:t xml:space="preserve">. The Finnish </w:t>
      </w:r>
      <w:proofErr w:type="spellStart"/>
      <w:r>
        <w:t>EnergyScope</w:t>
      </w:r>
      <w:proofErr w:type="spellEnd"/>
      <w:r>
        <w:t xml:space="preserve"> study would provide the national, energy-system-</w:t>
      </w:r>
      <w:proofErr w:type="spellStart"/>
      <w:r>
        <w:t>optimisation</w:t>
      </w:r>
      <w:proofErr w:type="spellEnd"/>
      <w:r>
        <w:t xml:space="preserve"> "deep dive"; </w:t>
      </w:r>
      <w:proofErr w:type="spellStart"/>
      <w:r>
        <w:t>BeWhere</w:t>
      </w:r>
      <w:proofErr w:type="spellEnd"/>
      <w:r>
        <w:t xml:space="preserve"> would provide the spatially explicit, multi-sector, European allocation view. The shared object</w:t>
      </w:r>
      <w:r w:rsidR="0059483D">
        <w:t xml:space="preserve">, </w:t>
      </w:r>
      <w:r>
        <w:t>a transferable, disturbance- and management-sensitive biomass supply curve</w:t>
      </w:r>
      <w:r w:rsidR="0059483D">
        <w:t>,</w:t>
      </w:r>
      <w:r>
        <w:t xml:space="preserve"> is the natural bridge between the two models and the basis for a joint proposal.</w:t>
      </w:r>
    </w:p>
    <w:p w14:paraId="2F4D82F7" w14:textId="77777777" w:rsidR="00B51423" w:rsidRDefault="00B51423">
      <w:pPr>
        <w:pBdr>
          <w:bottom w:val="single" w:sz="6" w:space="1" w:color="C8D2CB"/>
        </w:pBdr>
        <w:spacing w:before="40" w:after="120"/>
      </w:pPr>
    </w:p>
    <w:p w14:paraId="4BA617F2" w14:textId="0E4C30BC" w:rsidR="00B51423" w:rsidRDefault="0059483D">
      <w:pPr>
        <w:pStyle w:val="Heading1"/>
      </w:pPr>
      <w:r>
        <w:t>6</w:t>
      </w:r>
      <w:r w:rsidR="00000000">
        <w:t>. Path forward</w:t>
      </w:r>
    </w:p>
    <w:p w14:paraId="3DF16D11" w14:textId="5EF5B32E" w:rsidR="00B51423" w:rsidRDefault="00000000">
      <w:r>
        <w:t xml:space="preserve">1. </w:t>
      </w:r>
      <w:r>
        <w:rPr>
          <w:b/>
        </w:rPr>
        <w:t>[IIASA — G4M team]</w:t>
      </w:r>
      <w:r>
        <w:t xml:space="preserve"> Confirm that G4M can deliver, for Finland (2025–2060, by management scenario × GWL2/GWL3): (a) harvestable wood by assortment, (b)</w:t>
      </w:r>
      <w:r w:rsidR="0059483D">
        <w:t xml:space="preserve"> discussion on</w:t>
      </w:r>
      <w:r>
        <w:t xml:space="preserve"> ecologically available fractions, (c) </w:t>
      </w:r>
      <w:r>
        <w:rPr>
          <w:b/>
        </w:rPr>
        <w:t>net forest + HWP carbon flux</w:t>
      </w:r>
      <w:r>
        <w:t>, and (d) disturbance-driven mortality/salvage. Confirm spatial resolution and output format.</w:t>
      </w:r>
    </w:p>
    <w:p w14:paraId="71F1E9F5" w14:textId="444F90AE" w:rsidR="00B51423" w:rsidRDefault="00000000">
      <w:r>
        <w:t xml:space="preserve">2. </w:t>
      </w:r>
      <w:r>
        <w:rPr>
          <w:b/>
        </w:rPr>
        <w:t>[</w:t>
      </w:r>
      <w:r w:rsidR="0059483D">
        <w:rPr>
          <w:b/>
        </w:rPr>
        <w:t>M</w:t>
      </w:r>
      <w:r>
        <w:rPr>
          <w:b/>
        </w:rPr>
        <w:t>. Bordenave]</w:t>
      </w:r>
      <w:r>
        <w:t xml:space="preserve"> prototype the </w:t>
      </w:r>
      <w:r>
        <w:rPr>
          <w:b/>
        </w:rPr>
        <w:t>sink-coupling AMPL term</w:t>
      </w:r>
      <w:r>
        <w:t xml:space="preserve"> (5.C) against the existing 2035 matrix using </w:t>
      </w:r>
      <w:r>
        <w:rPr>
          <w:i/>
        </w:rPr>
        <w:t>literature</w:t>
      </w:r>
      <w:r>
        <w:t xml:space="preserve"> sink values (</w:t>
      </w:r>
      <w:proofErr w:type="spellStart"/>
      <w:r>
        <w:t>Blattert</w:t>
      </w:r>
      <w:proofErr w:type="spellEnd"/>
      <w:r>
        <w:t>) as a placeholder, to demonstrate the mechanism before G4M data arrive.</w:t>
      </w:r>
    </w:p>
    <w:p w14:paraId="68A95277" w14:textId="2C645B6B" w:rsidR="00B51423" w:rsidRDefault="00000000">
      <w:r>
        <w:t xml:space="preserve">3. </w:t>
      </w:r>
      <w:r>
        <w:rPr>
          <w:b/>
        </w:rPr>
        <w:t>[</w:t>
      </w:r>
      <w:r w:rsidR="0059483D">
        <w:rPr>
          <w:b/>
        </w:rPr>
        <w:t>M</w:t>
      </w:r>
      <w:r>
        <w:rPr>
          <w:b/>
        </w:rPr>
        <w:t>. Bordenave + IIASA]</w:t>
      </w:r>
      <w:r>
        <w:t xml:space="preserve"> Map G4M assortments → </w:t>
      </w:r>
      <w:r>
        <w:rPr>
          <w:rFonts w:ascii="Consolas" w:hAnsi="Consolas"/>
          <w:sz w:val="18"/>
        </w:rPr>
        <w:t>WOOD_FI1…FI4</w:t>
      </w:r>
      <w:r>
        <w:t xml:space="preserve">; adopt </w:t>
      </w:r>
      <w:r w:rsidR="0059483D">
        <w:t>best</w:t>
      </w:r>
      <w:r>
        <w:t xml:space="preserve"> cost data where Finland coverage is sufficient</w:t>
      </w:r>
    </w:p>
    <w:p w14:paraId="42CD7FD0" w14:textId="77777777" w:rsidR="00B51423" w:rsidRDefault="00000000">
      <w:r>
        <w:t xml:space="preserve">4. </w:t>
      </w:r>
      <w:r>
        <w:rPr>
          <w:b/>
        </w:rPr>
        <w:t>[All]</w:t>
      </w:r>
      <w:r>
        <w:t xml:space="preserve"> Agree scenario definitions (incl. the new </w:t>
      </w:r>
      <w:r>
        <w:rPr>
          <w:b/>
        </w:rPr>
        <w:t>S0 sink-max/net-zero</w:t>
      </w:r>
      <w:r>
        <w:t>) and the disturbance event design (compound windstorm → beetle, GWL2 primary).</w:t>
      </w:r>
    </w:p>
    <w:p w14:paraId="60AD2D92" w14:textId="77777777" w:rsidR="00B51423" w:rsidRDefault="00000000">
      <w:r>
        <w:t xml:space="preserve">5. </w:t>
      </w:r>
      <w:r>
        <w:rPr>
          <w:b/>
        </w:rPr>
        <w:t xml:space="preserve">[IIASA — </w:t>
      </w:r>
      <w:proofErr w:type="spellStart"/>
      <w:r>
        <w:rPr>
          <w:b/>
        </w:rPr>
        <w:t>Schipfer</w:t>
      </w:r>
      <w:proofErr w:type="spellEnd"/>
      <w:r>
        <w:rPr>
          <w:b/>
        </w:rPr>
        <w:t>/Tiwari]</w:t>
      </w:r>
      <w:r>
        <w:t xml:space="preserve"> Scope the </w:t>
      </w:r>
      <w:proofErr w:type="spellStart"/>
      <w:r>
        <w:t>BeWhere</w:t>
      </w:r>
      <w:proofErr w:type="spellEnd"/>
      <w:r>
        <w:t xml:space="preserve"> European extension as a follow-on; identify the shared supply-curve interface and a target joint output (paper / proposal).</w:t>
      </w:r>
    </w:p>
    <w:p w14:paraId="6EBA202A" w14:textId="77777777" w:rsidR="00B51423" w:rsidRDefault="00B51423">
      <w:pPr>
        <w:pBdr>
          <w:bottom w:val="single" w:sz="6" w:space="1" w:color="C8D2CB"/>
        </w:pBdr>
        <w:spacing w:before="40" w:after="120"/>
      </w:pPr>
    </w:p>
    <w:p w14:paraId="7570DB33" w14:textId="77777777" w:rsidR="00B51423" w:rsidRDefault="00000000">
      <w:pPr>
        <w:pStyle w:val="Heading1"/>
      </w:pPr>
      <w:r>
        <w:t>8. Open questions for IIASA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7"/>
        <w:gridCol w:w="6755"/>
      </w:tblGrid>
      <w:tr w:rsidR="0059483D" w14:paraId="00897F43" w14:textId="77777777" w:rsidTr="0059483D">
        <w:tc>
          <w:tcPr>
            <w:tcW w:w="3359" w:type="dxa"/>
            <w:shd w:val="clear" w:color="auto" w:fill="E9F0EA"/>
          </w:tcPr>
          <w:p w14:paraId="05961BC2" w14:textId="77777777" w:rsidR="0059483D" w:rsidRDefault="0059483D">
            <w:pPr>
              <w:spacing w:after="20"/>
            </w:pPr>
            <w:r>
              <w:rPr>
                <w:b/>
              </w:rPr>
              <w:t>#</w:t>
            </w:r>
          </w:p>
        </w:tc>
        <w:tc>
          <w:tcPr>
            <w:tcW w:w="6806" w:type="dxa"/>
            <w:shd w:val="clear" w:color="auto" w:fill="E9F0EA"/>
          </w:tcPr>
          <w:p w14:paraId="6AB38810" w14:textId="77777777" w:rsidR="0059483D" w:rsidRDefault="0059483D">
            <w:pPr>
              <w:spacing w:after="20"/>
            </w:pPr>
            <w:r>
              <w:rPr>
                <w:b/>
              </w:rPr>
              <w:t>Question</w:t>
            </w:r>
          </w:p>
        </w:tc>
      </w:tr>
      <w:tr w:rsidR="0059483D" w14:paraId="22ED85BA" w14:textId="77777777" w:rsidTr="0059483D">
        <w:tc>
          <w:tcPr>
            <w:tcW w:w="3359" w:type="dxa"/>
          </w:tcPr>
          <w:p w14:paraId="35E3E17E" w14:textId="77777777" w:rsidR="0059483D" w:rsidRDefault="0059483D">
            <w:pPr>
              <w:spacing w:after="20"/>
            </w:pPr>
            <w:r>
              <w:t>Q1</w:t>
            </w:r>
          </w:p>
        </w:tc>
        <w:tc>
          <w:tcPr>
            <w:tcW w:w="6806" w:type="dxa"/>
          </w:tcPr>
          <w:p w14:paraId="024E6270" w14:textId="77777777" w:rsidR="0059483D" w:rsidRDefault="0059483D">
            <w:pPr>
              <w:spacing w:after="20"/>
            </w:pPr>
            <w:r>
              <w:t xml:space="preserve">Does G4M already run for Finland at a resolution usable for national supply curves, and can it output assortment-level harvest </w:t>
            </w:r>
            <w:r>
              <w:rPr>
                <w:b/>
              </w:rPr>
              <w:t>and</w:t>
            </w:r>
            <w:r>
              <w:t xml:space="preserve"> net carbon/HWP flux per management scenario?</w:t>
            </w:r>
          </w:p>
        </w:tc>
      </w:tr>
      <w:tr w:rsidR="0059483D" w14:paraId="685242A0" w14:textId="77777777" w:rsidTr="0059483D">
        <w:tc>
          <w:tcPr>
            <w:tcW w:w="3359" w:type="dxa"/>
          </w:tcPr>
          <w:p w14:paraId="503D1321" w14:textId="138617CE" w:rsidR="0059483D" w:rsidRDefault="0059483D">
            <w:pPr>
              <w:spacing w:after="20"/>
            </w:pPr>
            <w:r>
              <w:t>Q2</w:t>
            </w:r>
          </w:p>
        </w:tc>
        <w:tc>
          <w:tcPr>
            <w:tcW w:w="6806" w:type="dxa"/>
          </w:tcPr>
          <w:p w14:paraId="5213B60C" w14:textId="77777777" w:rsidR="0059483D" w:rsidRDefault="0059483D">
            <w:pPr>
              <w:spacing w:after="20"/>
            </w:pPr>
            <w:r>
              <w:t>How should disturbance-related mortality be treated in Finland's LULUCF / forest reference level — i.e. should calamity-wood carbon be charged to the coupled GHG budget?</w:t>
            </w:r>
          </w:p>
        </w:tc>
      </w:tr>
      <w:tr w:rsidR="0059483D" w14:paraId="35AC0597" w14:textId="77777777" w:rsidTr="0059483D">
        <w:tc>
          <w:tcPr>
            <w:tcW w:w="3359" w:type="dxa"/>
          </w:tcPr>
          <w:p w14:paraId="36D2D276" w14:textId="7CF50742" w:rsidR="0059483D" w:rsidRDefault="0059483D">
            <w:pPr>
              <w:spacing w:after="20"/>
            </w:pPr>
            <w:r>
              <w:t>Q3</w:t>
            </w:r>
          </w:p>
        </w:tc>
        <w:tc>
          <w:tcPr>
            <w:tcW w:w="6806" w:type="dxa"/>
          </w:tcPr>
          <w:p w14:paraId="50E0C6A4" w14:textId="0EF56A53" w:rsidR="0059483D" w:rsidRDefault="0059483D">
            <w:pPr>
              <w:spacing w:after="20"/>
            </w:pPr>
            <w:r>
              <w:t>Are you (</w:t>
            </w:r>
            <w:proofErr w:type="spellStart"/>
            <w:r>
              <w:t>Shubbham</w:t>
            </w:r>
            <w:proofErr w:type="spellEnd"/>
            <w:r>
              <w:t xml:space="preserve">, Fabian) interested in a </w:t>
            </w:r>
            <w:proofErr w:type="spellStart"/>
            <w:r>
              <w:t>BeWhere</w:t>
            </w:r>
            <w:proofErr w:type="spellEnd"/>
            <w:r>
              <w:t>-based European/construction extension built on the same supply-curve object, and on what timeline?</w:t>
            </w:r>
          </w:p>
        </w:tc>
      </w:tr>
      <w:tr w:rsidR="0059483D" w14:paraId="08F6D30F" w14:textId="77777777" w:rsidTr="0059483D">
        <w:tc>
          <w:tcPr>
            <w:tcW w:w="3359" w:type="dxa"/>
          </w:tcPr>
          <w:p w14:paraId="235F507E" w14:textId="30D87544" w:rsidR="0059483D" w:rsidRDefault="0059483D">
            <w:r>
              <w:t>Q4</w:t>
            </w:r>
          </w:p>
        </w:tc>
        <w:tc>
          <w:tcPr>
            <w:tcW w:w="6806" w:type="dxa"/>
          </w:tcPr>
          <w:p w14:paraId="1A9FB510" w14:textId="77777777" w:rsidR="0059483D" w:rsidRDefault="0059483D">
            <w:r>
              <w:t xml:space="preserve">Can G4M resolve harvest </w:t>
            </w:r>
            <w:r>
              <w:rPr>
                <w:b/>
              </w:rPr>
              <w:t>by assortment under distinct management regimes</w:t>
            </w:r>
            <w:r>
              <w:t xml:space="preserve"> (intensive / balanced / conservation) for Finland, and at what </w:t>
            </w:r>
            <w:r>
              <w:rPr>
                <w:b/>
              </w:rPr>
              <w:t>harvest-level denominator</w:t>
            </w:r>
            <w:r>
              <w:t xml:space="preserve"> (share of annual increment vs share of maximum sustainable)?</w:t>
            </w:r>
          </w:p>
        </w:tc>
      </w:tr>
      <w:tr w:rsidR="0059483D" w14:paraId="480899B9" w14:textId="77777777" w:rsidTr="0059483D">
        <w:tc>
          <w:tcPr>
            <w:tcW w:w="3359" w:type="dxa"/>
          </w:tcPr>
          <w:p w14:paraId="000B90A3" w14:textId="0FF84F50" w:rsidR="0059483D" w:rsidRDefault="0059483D">
            <w:r>
              <w:lastRenderedPageBreak/>
              <w:t>Q5</w:t>
            </w:r>
          </w:p>
        </w:tc>
        <w:tc>
          <w:tcPr>
            <w:tcW w:w="6806" w:type="dxa"/>
          </w:tcPr>
          <w:p w14:paraId="56B87ACE" w14:textId="2187FB7B" w:rsidR="0059483D" w:rsidRDefault="0059483D">
            <w:r>
              <w:t xml:space="preserve">How in IIASA you </w:t>
            </w:r>
            <w:proofErr w:type="spellStart"/>
            <w:r>
              <w:rPr>
                <w:b/>
              </w:rPr>
              <w:t>endogenise</w:t>
            </w:r>
            <w:proofErr w:type="spellEnd"/>
            <w:r>
              <w:rPr>
                <w:b/>
              </w:rPr>
              <w:t xml:space="preserve"> the industry-vs-energy split</w:t>
            </w:r>
            <w:r>
              <w:t>, so the energy-available residue is what remains after industrial roundwood demand under each scenario and what industrial-demand trajectory does we assume?</w:t>
            </w:r>
          </w:p>
        </w:tc>
      </w:tr>
      <w:tr w:rsidR="0059483D" w14:paraId="3C3DEBF2" w14:textId="77777777" w:rsidTr="0059483D">
        <w:tc>
          <w:tcPr>
            <w:tcW w:w="3359" w:type="dxa"/>
          </w:tcPr>
          <w:p w14:paraId="0CFE2B0C" w14:textId="6C5701B9" w:rsidR="0059483D" w:rsidRDefault="0059483D">
            <w:r>
              <w:t>Q6</w:t>
            </w:r>
          </w:p>
        </w:tc>
        <w:tc>
          <w:tcPr>
            <w:tcW w:w="6806" w:type="dxa"/>
          </w:tcPr>
          <w:p w14:paraId="0DC620DD" w14:textId="7FC11177" w:rsidR="0059483D" w:rsidRDefault="0059483D">
            <w:r>
              <w:t>How should the mill by-product stream (</w:t>
            </w:r>
            <w:r>
              <w:rPr>
                <w:b/>
              </w:rPr>
              <w:t>WOOD_FI1</w:t>
            </w:r>
            <w:r>
              <w:t>: black liquor, bark, sawdust) be obtained — a G4M-linked processing-yield conversion, or national statistics (LUKE)/ENSPRESSO ?</w:t>
            </w:r>
          </w:p>
        </w:tc>
      </w:tr>
      <w:tr w:rsidR="0059483D" w14:paraId="05982F51" w14:textId="77777777" w:rsidTr="0059483D">
        <w:tc>
          <w:tcPr>
            <w:tcW w:w="3359" w:type="dxa"/>
          </w:tcPr>
          <w:p w14:paraId="2E917B42" w14:textId="0C6B0E5A" w:rsidR="0059483D" w:rsidRDefault="0059483D">
            <w:r>
              <w:t>Q7</w:t>
            </w:r>
          </w:p>
        </w:tc>
        <w:tc>
          <w:tcPr>
            <w:tcW w:w="6806" w:type="dxa"/>
          </w:tcPr>
          <w:p w14:paraId="1E324C60" w14:textId="77777777" w:rsidR="0059483D" w:rsidRDefault="0059483D">
            <w:r>
              <w:t xml:space="preserve">Are the </w:t>
            </w:r>
            <w:r>
              <w:rPr>
                <w:b/>
              </w:rPr>
              <w:t>ecological availability fractions</w:t>
            </w:r>
            <w:r>
              <w:t xml:space="preserve"> (deadwood/residue retention, set-aside) applied inside G4M per scenario, or must we post-apply them to raw harvest?</w:t>
            </w:r>
          </w:p>
        </w:tc>
      </w:tr>
    </w:tbl>
    <w:p w14:paraId="3A5BFBE3" w14:textId="77777777" w:rsidR="00B51423" w:rsidRDefault="00B51423">
      <w:pPr>
        <w:spacing w:after="40"/>
      </w:pPr>
    </w:p>
    <w:p w14:paraId="75DAF58C" w14:textId="77777777" w:rsidR="00B51423" w:rsidRDefault="00B51423">
      <w:pPr>
        <w:pBdr>
          <w:bottom w:val="single" w:sz="6" w:space="1" w:color="C8D2CB"/>
        </w:pBdr>
        <w:spacing w:before="40" w:after="120"/>
      </w:pPr>
    </w:p>
    <w:p w14:paraId="6C0B0400" w14:textId="7D6E73D6" w:rsidR="00B51423" w:rsidRDefault="00000000">
      <w:pPr>
        <w:pStyle w:val="Heading1"/>
      </w:pPr>
      <w:r>
        <w:t>References</w:t>
      </w:r>
    </w:p>
    <w:p w14:paraId="7DA575D9" w14:textId="77777777" w:rsidR="00B51423" w:rsidRDefault="00000000">
      <w:pPr>
        <w:pStyle w:val="ListBullet"/>
      </w:pPr>
      <w:r>
        <w:t xml:space="preserve">Blattert, C. et al. (2022). Sectoral policies cause incoherence in forest management and ecosystem service provisioning. </w:t>
      </w:r>
      <w:r>
        <w:rPr>
          <w:i/>
        </w:rPr>
        <w:t>Forest Policy and Economics</w:t>
      </w:r>
      <w:r>
        <w:t xml:space="preserve"> 136, 102689.</w:t>
      </w:r>
    </w:p>
    <w:p w14:paraId="4FA6FDCB" w14:textId="77777777" w:rsidR="00B51423" w:rsidRDefault="00000000">
      <w:pPr>
        <w:pStyle w:val="ListBullet"/>
      </w:pPr>
      <w:r>
        <w:t>Colla, M. et al. (2022). Optimal Use of Lignocellulosic Biomass in a Multi-Sector Energy System.</w:t>
      </w:r>
    </w:p>
    <w:p w14:paraId="5463273E" w14:textId="77777777" w:rsidR="00B51423" w:rsidRDefault="00000000">
      <w:pPr>
        <w:pStyle w:val="ListBullet"/>
      </w:pPr>
      <w:r>
        <w:t>Gusti, M. (2010). An algorithm for simulation of forest management decisions in the global forest model (G4M).</w:t>
      </w:r>
    </w:p>
    <w:p w14:paraId="7AE54ED6" w14:textId="77777777" w:rsidR="00B51423" w:rsidRDefault="00000000">
      <w:pPr>
        <w:pStyle w:val="ListBullet"/>
      </w:pPr>
      <w:proofErr w:type="spellStart"/>
      <w:r>
        <w:t>Hlásny</w:t>
      </w:r>
      <w:proofErr w:type="spellEnd"/>
      <w:r>
        <w:t xml:space="preserve">, T. et al. (2021). Devastating outbreak of bark beetles in the Czech Republic. </w:t>
      </w:r>
      <w:r>
        <w:rPr>
          <w:i/>
        </w:rPr>
        <w:t>For. Ecol. Manage.</w:t>
      </w:r>
      <w:r>
        <w:t xml:space="preserve"> (</w:t>
      </w:r>
      <w:r>
        <w:rPr>
          <w:rFonts w:ascii="Consolas" w:hAnsi="Consolas"/>
          <w:sz w:val="18"/>
        </w:rPr>
        <w:t>j.foreco.2021.119075</w:t>
      </w:r>
      <w:r>
        <w:t>).</w:t>
      </w:r>
    </w:p>
    <w:p w14:paraId="4A0E555D" w14:textId="77777777" w:rsidR="00B51423" w:rsidRDefault="00000000">
      <w:pPr>
        <w:pStyle w:val="ListBullet"/>
      </w:pPr>
      <w:proofErr w:type="spellStart"/>
      <w:r>
        <w:t>Kärhä</w:t>
      </w:r>
      <w:proofErr w:type="spellEnd"/>
      <w:r>
        <w:t xml:space="preserve">, K. et al. (2018). Salvage logging productivity and costs in windthrown Norway spruce. </w:t>
      </w:r>
      <w:r>
        <w:rPr>
          <w:i/>
        </w:rPr>
        <w:t>Forests</w:t>
      </w:r>
      <w:r>
        <w:t xml:space="preserve"> 9(5), 280.</w:t>
      </w:r>
    </w:p>
    <w:p w14:paraId="22EDA0BC" w14:textId="77777777" w:rsidR="00B51423" w:rsidRDefault="00000000">
      <w:pPr>
        <w:pStyle w:val="ListBullet"/>
      </w:pPr>
      <w:r>
        <w:t>Kindermann, G. et al. (2008). A global forest growing stock, biomass and carbon map based on FAO statistics (G4M basis).</w:t>
      </w:r>
    </w:p>
    <w:p w14:paraId="113C1EDF" w14:textId="77777777" w:rsidR="00B51423" w:rsidRDefault="00000000">
      <w:pPr>
        <w:pStyle w:val="ListBullet"/>
      </w:pPr>
      <w:r>
        <w:t xml:space="preserve">Krasovskiy, A. et al. (2025). </w:t>
      </w:r>
      <w:proofErr w:type="spellStart"/>
      <w:r>
        <w:t>ForestNavigator</w:t>
      </w:r>
      <w:proofErr w:type="spellEnd"/>
      <w:r>
        <w:t xml:space="preserve"> D3.4 — natural disturbances and extreme events impact on forest mitigation potential.</w:t>
      </w:r>
    </w:p>
    <w:p w14:paraId="4A790AEE" w14:textId="77777777" w:rsidR="00B51423" w:rsidRPr="00940947" w:rsidRDefault="00000000">
      <w:pPr>
        <w:pStyle w:val="ListBullet"/>
        <w:rPr>
          <w:lang w:val="it-IT"/>
        </w:rPr>
      </w:pPr>
      <w:r w:rsidRPr="00940947">
        <w:rPr>
          <w:lang w:val="it-IT"/>
        </w:rPr>
        <w:t xml:space="preserve">Lauri, P., Forsell, N., di Fulvio, F. et al. — G4M </w:t>
      </w:r>
      <w:proofErr w:type="spellStart"/>
      <w:r w:rsidRPr="00940947">
        <w:rPr>
          <w:lang w:val="it-IT"/>
        </w:rPr>
        <w:t>applications</w:t>
      </w:r>
      <w:proofErr w:type="spellEnd"/>
      <w:r w:rsidRPr="00940947">
        <w:rPr>
          <w:lang w:val="it-IT"/>
        </w:rPr>
        <w:t xml:space="preserve"> in GLOBIOM/</w:t>
      </w:r>
      <w:proofErr w:type="spellStart"/>
      <w:r w:rsidRPr="00940947">
        <w:rPr>
          <w:lang w:val="it-IT"/>
        </w:rPr>
        <w:t>ForestNavigator</w:t>
      </w:r>
      <w:proofErr w:type="spellEnd"/>
      <w:r w:rsidRPr="00940947">
        <w:rPr>
          <w:lang w:val="it-IT"/>
        </w:rPr>
        <w:t>.</w:t>
      </w:r>
    </w:p>
    <w:p w14:paraId="20A535F6" w14:textId="77777777" w:rsidR="00B51423" w:rsidRDefault="00000000">
      <w:pPr>
        <w:pStyle w:val="ListBullet"/>
      </w:pPr>
      <w:r>
        <w:t xml:space="preserve">Leduc, S., Kraxner, F., Schipfer, F. et al. — </w:t>
      </w:r>
      <w:proofErr w:type="spellStart"/>
      <w:r>
        <w:t>BeWhere</w:t>
      </w:r>
      <w:proofErr w:type="spellEnd"/>
      <w:r>
        <w:t xml:space="preserve"> model and bioenergy/forest-industry siting.</w:t>
      </w:r>
    </w:p>
    <w:p w14:paraId="7D13EE9D" w14:textId="77777777" w:rsidR="00B51423" w:rsidRDefault="00000000">
      <w:pPr>
        <w:pStyle w:val="ListBullet"/>
      </w:pPr>
      <w:r>
        <w:t xml:space="preserve">Mönkkönen, M. et al. (2024). Ecologically and economically sustainable level of timber harvesting in boreal forests. </w:t>
      </w:r>
      <w:r>
        <w:rPr>
          <w:i/>
        </w:rPr>
        <w:t>bioRxiv</w:t>
      </w:r>
      <w:r>
        <w:t xml:space="preserve"> 2024.06.27.600997.</w:t>
      </w:r>
    </w:p>
    <w:p w14:paraId="00B5EB7C" w14:textId="77777777" w:rsidR="00B51423" w:rsidRDefault="00000000">
      <w:pPr>
        <w:pStyle w:val="ListBullet"/>
      </w:pPr>
      <w:proofErr w:type="spellStart"/>
      <w:r>
        <w:t>Patacca</w:t>
      </w:r>
      <w:proofErr w:type="spellEnd"/>
      <w:r>
        <w:t xml:space="preserve">, M. et al. (2023). Significant increase in natural disturbance impacts on European forests since 1950. </w:t>
      </w:r>
      <w:r>
        <w:rPr>
          <w:i/>
        </w:rPr>
        <w:t>Global Change Biology</w:t>
      </w:r>
      <w:r>
        <w:t xml:space="preserve"> 29(5).</w:t>
      </w:r>
    </w:p>
    <w:p w14:paraId="5E179DA1" w14:textId="77777777" w:rsidR="00B51423" w:rsidRDefault="00000000">
      <w:pPr>
        <w:pStyle w:val="ListBullet"/>
      </w:pPr>
      <w:r>
        <w:t xml:space="preserve">Venäläinen, A. et al. (2020). Climate change induces multiple risks to boreal forests and forestry in Finland. </w:t>
      </w:r>
      <w:r>
        <w:rPr>
          <w:i/>
        </w:rPr>
        <w:t>Global Change Biology</w:t>
      </w:r>
      <w:r>
        <w:t xml:space="preserve"> 26(8).</w:t>
      </w:r>
    </w:p>
    <w:p w14:paraId="4B07226C" w14:textId="7E4572A0" w:rsidR="00B51423" w:rsidRDefault="00B51423"/>
    <w:sectPr w:rsidR="00B51423" w:rsidSect="00034616">
      <w:headerReference w:type="default" r:id="rId8"/>
      <w:footerReference w:type="default" r:id="rId9"/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4C4D4" w14:textId="77777777" w:rsidR="00720269" w:rsidRDefault="00720269">
      <w:pPr>
        <w:spacing w:after="0" w:line="240" w:lineRule="auto"/>
      </w:pPr>
      <w:r>
        <w:separator/>
      </w:r>
    </w:p>
  </w:endnote>
  <w:endnote w:type="continuationSeparator" w:id="0">
    <w:p w14:paraId="35F33E0B" w14:textId="77777777" w:rsidR="00720269" w:rsidRDefault="00720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81F2A" w14:textId="77777777" w:rsidR="000140B0" w:rsidRDefault="00000000">
    <w:pPr>
      <w:pStyle w:val="Footer"/>
      <w:jc w:val="center"/>
    </w:pPr>
    <w:r>
      <w:rPr>
        <w:color w:val="787878"/>
        <w:sz w:val="17"/>
      </w:rPr>
      <w:fldChar w:fldCharType="begin"/>
    </w:r>
    <w:r>
      <w:rPr>
        <w:color w:val="787878"/>
        <w:sz w:val="17"/>
      </w:rPr>
      <w:instrText>PAGE</w:instrText>
    </w:r>
    <w:r>
      <w:rPr>
        <w:color w:val="787878"/>
        <w:sz w:val="17"/>
      </w:rPr>
      <w:fldChar w:fldCharType="separate"/>
    </w:r>
    <w:r w:rsidR="00F716BC">
      <w:rPr>
        <w:noProof/>
        <w:color w:val="787878"/>
        <w:sz w:val="17"/>
      </w:rPr>
      <w:t>1</w:t>
    </w:r>
    <w:r>
      <w:rPr>
        <w:color w:val="787878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9F9F4" w14:textId="77777777" w:rsidR="00720269" w:rsidRDefault="00720269">
      <w:pPr>
        <w:spacing w:after="0" w:line="240" w:lineRule="auto"/>
      </w:pPr>
      <w:r>
        <w:separator/>
      </w:r>
    </w:p>
  </w:footnote>
  <w:footnote w:type="continuationSeparator" w:id="0">
    <w:p w14:paraId="500032E0" w14:textId="77777777" w:rsidR="00720269" w:rsidRDefault="007202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68F94" w14:textId="77777777" w:rsidR="000140B0" w:rsidRDefault="000140B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216394">
    <w:abstractNumId w:val="8"/>
  </w:num>
  <w:num w:numId="2" w16cid:durableId="1191333614">
    <w:abstractNumId w:val="6"/>
  </w:num>
  <w:num w:numId="3" w16cid:durableId="1562905822">
    <w:abstractNumId w:val="5"/>
  </w:num>
  <w:num w:numId="4" w16cid:durableId="1923757558">
    <w:abstractNumId w:val="4"/>
  </w:num>
  <w:num w:numId="5" w16cid:durableId="1093816442">
    <w:abstractNumId w:val="7"/>
  </w:num>
  <w:num w:numId="6" w16cid:durableId="1382166692">
    <w:abstractNumId w:val="3"/>
  </w:num>
  <w:num w:numId="7" w16cid:durableId="584270312">
    <w:abstractNumId w:val="2"/>
  </w:num>
  <w:num w:numId="8" w16cid:durableId="2032608295">
    <w:abstractNumId w:val="1"/>
  </w:num>
  <w:num w:numId="9" w16cid:durableId="1555119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0B0"/>
    <w:rsid w:val="00034616"/>
    <w:rsid w:val="0006063C"/>
    <w:rsid w:val="000D51F8"/>
    <w:rsid w:val="0015074B"/>
    <w:rsid w:val="002058C8"/>
    <w:rsid w:val="0029639D"/>
    <w:rsid w:val="002A414D"/>
    <w:rsid w:val="00326F90"/>
    <w:rsid w:val="00333270"/>
    <w:rsid w:val="003664A3"/>
    <w:rsid w:val="0059483D"/>
    <w:rsid w:val="0069630B"/>
    <w:rsid w:val="00720269"/>
    <w:rsid w:val="008100E3"/>
    <w:rsid w:val="00940947"/>
    <w:rsid w:val="00A9687B"/>
    <w:rsid w:val="00AA1D8D"/>
    <w:rsid w:val="00AE06EE"/>
    <w:rsid w:val="00B47730"/>
    <w:rsid w:val="00B51423"/>
    <w:rsid w:val="00BF79B0"/>
    <w:rsid w:val="00CB0664"/>
    <w:rsid w:val="00CD6860"/>
    <w:rsid w:val="00D961FD"/>
    <w:rsid w:val="00DB2E02"/>
    <w:rsid w:val="00F334FB"/>
    <w:rsid w:val="00F51D72"/>
    <w:rsid w:val="00F716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C9DFB1"/>
  <w14:defaultImageDpi w14:val="300"/>
  <w15:docId w15:val="{12912DC5-2642-4115-9F4B-B6862416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3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4E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3C5A4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3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0505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4F4F4"/>
      <w:spacing w:before="80" w:after="120"/>
      <w:ind w:left="198" w:right="198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3107</Words>
  <Characters>17716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Concept Note: Coupled Forest–Energy Modelling for Finland</vt:lpstr>
    </vt:vector>
  </TitlesOfParts>
  <Manager/>
  <Company/>
  <LinksUpToDate>false</LinksUpToDate>
  <CharactersWithSpaces>20782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 Note: Coupled Forest–Energy Modelling for Finland</dc:title>
  <dc:subject>Biomass Supply Curves under Management Scenarios and Natural Disturbance Shocks</dc:subject>
  <dc:creator>J. Borde</dc:creator>
  <cp:keywords>Forest modelling; EnergyScope; Finland; biomass; IIASA</cp:keywords>
  <dc:description>generated by python-docx</dc:description>
  <cp:lastModifiedBy>MATTHIEU RENÉ GASTON BORDENAVE</cp:lastModifiedBy>
  <cp:revision>5</cp:revision>
  <dcterms:created xsi:type="dcterms:W3CDTF">2026-10-02T14:42:00Z</dcterms:created>
  <dcterms:modified xsi:type="dcterms:W3CDTF">2026-10-02T15:37:00Z</dcterms:modified>
  <cp:category/>
</cp:coreProperties>
</file>