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rFonts w:ascii="Calibri" w:cs="Calibri" w:eastAsia="Calibri" w:hAnsi="Calibri"/>
        </w:rPr>
      </w:pPr>
      <w:r w:rsidDel="00000000" w:rsidR="00000000" w:rsidRPr="00000000">
        <w:rPr>
          <w:rFonts w:ascii="Calibri" w:cs="Calibri" w:eastAsia="Calibri" w:hAnsi="Calibri"/>
          <w:color w:val="1f4e3c"/>
          <w:sz w:val="46"/>
          <w:szCs w:val="46"/>
          <w:rtl w:val="0"/>
        </w:rPr>
        <w:t xml:space="preserve">Concept Note — Coupling G4M, PICUS with EnergyScope Finland</w:t>
      </w:r>
      <w:r w:rsidDel="00000000" w:rsidR="00000000" w:rsidRPr="00000000">
        <w:rPr>
          <w:rtl w:val="0"/>
        </w:rPr>
      </w:r>
    </w:p>
    <w:p w:rsidR="00000000" w:rsidDel="00000000" w:rsidP="00000000" w:rsidRDefault="00000000" w:rsidRPr="00000000" w14:paraId="00000002">
      <w:pPr>
        <w:spacing w:after="160" w:lineRule="auto"/>
        <w:jc w:val="center"/>
        <w:rPr>
          <w:rFonts w:ascii="Calibri" w:cs="Calibri" w:eastAsia="Calibri" w:hAnsi="Calibri"/>
        </w:rPr>
      </w:pPr>
      <w:r w:rsidDel="00000000" w:rsidR="00000000" w:rsidRPr="00000000">
        <w:rPr>
          <w:rFonts w:ascii="Calibri" w:cs="Calibri" w:eastAsia="Calibri" w:hAnsi="Calibri"/>
          <w:i w:val="1"/>
          <w:iCs w:val="1"/>
          <w:color w:val="505050"/>
          <w:sz w:val="26"/>
          <w:szCs w:val="26"/>
          <w:rtl w:val="0"/>
        </w:rPr>
        <w:t xml:space="preserve">Forest-management and disturbance-driven biomass supply curves, and the forest carbon sink</w:t>
      </w:r>
      <w:r w:rsidDel="00000000" w:rsidR="00000000" w:rsidRPr="00000000">
        <w:rPr>
          <w:rtl w:val="0"/>
        </w:rPr>
      </w:r>
    </w:p>
    <w:p w:rsidR="00000000" w:rsidDel="00000000" w:rsidP="00000000" w:rsidRDefault="00000000" w:rsidRPr="00000000" w14:paraId="00000003">
      <w:pPr>
        <w:spacing w:after="20" w:lineRule="auto"/>
        <w:jc w:val="center"/>
        <w:rPr>
          <w:rFonts w:ascii="Calibri" w:cs="Calibri" w:eastAsia="Calibri" w:hAnsi="Calibri"/>
        </w:rPr>
      </w:pPr>
      <w:r w:rsidDel="00000000" w:rsidR="00000000" w:rsidRPr="00000000">
        <w:rPr>
          <w:rFonts w:ascii="Calibri" w:cs="Calibri" w:eastAsia="Calibri" w:hAnsi="Calibri"/>
          <w:sz w:val="21"/>
          <w:szCs w:val="21"/>
          <w:rtl w:val="0"/>
        </w:rPr>
        <w:t xml:space="preserve">Matthieu Bordenave</w:t>
      </w:r>
      <w:r w:rsidDel="00000000" w:rsidR="00000000" w:rsidRPr="00000000">
        <w:rPr>
          <w:rtl w:val="0"/>
        </w:rPr>
      </w:r>
    </w:p>
    <w:p w:rsidR="00000000" w:rsidDel="00000000" w:rsidP="00000000" w:rsidRDefault="00000000" w:rsidRPr="00000000" w14:paraId="00000004">
      <w:pPr>
        <w:spacing w:after="20" w:lineRule="auto"/>
        <w:jc w:val="center"/>
        <w:rPr>
          <w:rFonts w:ascii="Calibri" w:cs="Calibri" w:eastAsia="Calibri" w:hAnsi="Calibri"/>
        </w:rPr>
      </w:pPr>
      <w:r w:rsidDel="00000000" w:rsidR="00000000" w:rsidRPr="00000000">
        <w:rPr>
          <w:rFonts w:ascii="Calibri" w:cs="Calibri" w:eastAsia="Calibri" w:hAnsi="Calibri"/>
          <w:sz w:val="21"/>
          <w:szCs w:val="21"/>
          <w:rtl w:val="0"/>
        </w:rPr>
        <w:t xml:space="preserve">University of Pisa · IIASA · UCLouvain</w:t>
      </w:r>
      <w:r w:rsidDel="00000000" w:rsidR="00000000" w:rsidRPr="00000000">
        <w:rPr>
          <w:rtl w:val="0"/>
        </w:rPr>
      </w:r>
    </w:p>
    <w:p w:rsidR="00000000" w:rsidDel="00000000" w:rsidP="00000000" w:rsidRDefault="00000000" w:rsidRPr="00000000" w14:paraId="00000005">
      <w:pPr>
        <w:spacing w:after="20" w:lineRule="auto"/>
        <w:jc w:val="center"/>
        <w:rPr>
          <w:rFonts w:ascii="Calibri" w:cs="Calibri" w:eastAsia="Calibri" w:hAnsi="Calibri"/>
        </w:rPr>
      </w:pPr>
      <w:r w:rsidDel="00000000" w:rsidR="00000000" w:rsidRPr="00000000">
        <w:rPr>
          <w:rFonts w:ascii="Calibri" w:cs="Calibri" w:eastAsia="Calibri" w:hAnsi="Calibri"/>
          <w:sz w:val="21"/>
          <w:szCs w:val="21"/>
          <w:rtl w:val="0"/>
        </w:rPr>
        <w:t xml:space="preserve">Date: October 2026</w:t>
      </w:r>
      <w:r w:rsidDel="00000000" w:rsidR="00000000" w:rsidRPr="00000000">
        <w:rPr>
          <w:rtl w:val="0"/>
        </w:rPr>
      </w:r>
    </w:p>
    <w:p w:rsidR="00000000" w:rsidDel="00000000" w:rsidP="00000000" w:rsidRDefault="00000000" w:rsidRPr="00000000" w14:paraId="00000006">
      <w:pPr>
        <w:spacing w:after="20" w:lineRule="auto"/>
        <w:jc w:val="center"/>
        <w:rPr>
          <w:rFonts w:ascii="Calibri" w:cs="Calibri" w:eastAsia="Calibri" w:hAnsi="Calibri"/>
        </w:rPr>
      </w:pPr>
      <w:r w:rsidDel="00000000" w:rsidR="00000000" w:rsidRPr="00000000">
        <w:rPr>
          <w:rFonts w:ascii="Calibri" w:cs="Calibri" w:eastAsia="Calibri" w:hAnsi="Calibri"/>
          <w:sz w:val="21"/>
          <w:szCs w:val="21"/>
          <w:rtl w:val="0"/>
        </w:rPr>
        <w:t xml:space="preserve">Status: Draft for discussion with IIASA</w:t>
      </w:r>
      <w:r w:rsidDel="00000000" w:rsidR="00000000" w:rsidRPr="00000000">
        <w:rPr>
          <w:rtl w:val="0"/>
        </w:rPr>
      </w:r>
    </w:p>
    <w:p w:rsidR="00000000" w:rsidDel="00000000" w:rsidP="00000000" w:rsidRDefault="00000000" w:rsidRPr="00000000" w14:paraId="00000007">
      <w:pPr>
        <w:pBdr>
          <w:bottom w:color="c8d2cb" w:space="1" w:sz="6" w:val="single"/>
        </w:pBdr>
        <w:spacing w:after="120" w:before="40"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54" w:lineRule="auto"/>
        <w:ind w:left="0" w:right="0" w:firstLine="0"/>
        <w:jc w:val="left"/>
        <w:rPr>
          <w:rFonts w:ascii="Calibri" w:cs="Calibri" w:eastAsia="Calibri" w:hAnsi="Calibri"/>
          <w:i w:val="1"/>
          <w:iCs w:val="1"/>
          <w:smallCaps w:val="0"/>
          <w:strike w:val="0"/>
          <w:color w:val="000000"/>
          <w:sz w:val="20"/>
          <w:szCs w:val="20"/>
          <w:u w:val="none"/>
          <w:shd w:fill="auto" w:val="clear"/>
          <w:vertAlign w:val="baseline"/>
        </w:rPr>
      </w:pPr>
      <w:r w:rsidDel="00000000" w:rsidR="00000000" w:rsidRPr="00000000">
        <w:rPr>
          <w:rFonts w:ascii="Calibri" w:cs="Calibri" w:eastAsia="Calibri" w:hAnsi="Calibri"/>
          <w:i w:val="1"/>
          <w:iCs w:val="1"/>
          <w:smallCaps w:val="0"/>
          <w:strike w:val="0"/>
          <w:color w:val="000000"/>
          <w:sz w:val="20"/>
          <w:szCs w:val="20"/>
          <w:u w:val="none"/>
          <w:shd w:fill="auto" w:val="clear"/>
          <w:vertAlign w:val="baseline"/>
          <w:rtl w:val="0"/>
        </w:rPr>
        <w:t xml:space="preserve">Purpose of this note.</w:t>
      </w:r>
      <w:r w:rsidDel="00000000" w:rsidR="00000000" w:rsidRPr="00000000">
        <w:rPr>
          <w:rFonts w:ascii="Calibri" w:cs="Calibri" w:eastAsia="Calibri" w:hAnsi="Calibri"/>
          <w:i w:val="1"/>
          <w:iCs w:val="1"/>
          <w:smallCaps w:val="0"/>
          <w:strike w:val="0"/>
          <w:color w:val="000000"/>
          <w:sz w:val="20"/>
          <w:szCs w:val="20"/>
          <w:u w:val="none"/>
          <w:shd w:fill="auto" w:val="clear"/>
          <w:vertAlign w:val="baseline"/>
          <w:rtl w:val="0"/>
        </w:rPr>
        <w:t xml:space="preserve"> The original plan (April 2026) was to couple the ForestNavigator disturbance modules (FLAM, PICUS) to a Finnish stand-level forest simulator maintained by a partner team ("the FORTRAN model"). That coupling is now blocked because the partner team is no longer responsive. This note proposes an </w:t>
      </w:r>
      <w:r w:rsidDel="00000000" w:rsidR="00000000" w:rsidRPr="00000000">
        <w:rPr>
          <w:rFonts w:ascii="Calibri" w:cs="Calibri" w:eastAsia="Calibri" w:hAnsi="Calibri"/>
          <w:i w:val="1"/>
          <w:iCs w:val="1"/>
          <w:smallCaps w:val="0"/>
          <w:strike w:val="0"/>
          <w:color w:val="000000"/>
          <w:sz w:val="20"/>
          <w:szCs w:val="20"/>
          <w:u w:val="none"/>
          <w:shd w:fill="auto" w:val="clear"/>
          <w:vertAlign w:val="baseline"/>
          <w:rtl w:val="0"/>
        </w:rPr>
        <w:t xml:space="preserve">alternative that stays entirely within the IIASA toolchain</w:t>
      </w:r>
      <w:r w:rsidDel="00000000" w:rsidR="00000000" w:rsidRPr="00000000">
        <w:rPr>
          <w:rFonts w:ascii="Calibri" w:cs="Calibri" w:eastAsia="Calibri" w:hAnsi="Calibri"/>
          <w:i w:val="1"/>
          <w:iCs w:val="1"/>
          <w:smallCaps w:val="0"/>
          <w:strike w:val="0"/>
          <w:color w:val="000000"/>
          <w:sz w:val="20"/>
          <w:szCs w:val="20"/>
          <w:u w:val="none"/>
          <w:shd w:fill="auto" w:val="clear"/>
          <w:vertAlign w:val="baseline"/>
          <w:rtl w:val="0"/>
        </w:rPr>
        <w:t xml:space="preserve">: use the </w:t>
      </w:r>
      <w:r w:rsidDel="00000000" w:rsidR="00000000" w:rsidRPr="00000000">
        <w:rPr>
          <w:rFonts w:ascii="Calibri" w:cs="Calibri" w:eastAsia="Calibri" w:hAnsi="Calibri"/>
          <w:i w:val="1"/>
          <w:iCs w:val="1"/>
          <w:smallCaps w:val="0"/>
          <w:strike w:val="0"/>
          <w:color w:val="000000"/>
          <w:sz w:val="20"/>
          <w:szCs w:val="20"/>
          <w:u w:val="none"/>
          <w:shd w:fill="auto" w:val="clear"/>
          <w:vertAlign w:val="baseline"/>
          <w:rtl w:val="0"/>
        </w:rPr>
        <w:t xml:space="preserve">Global Forest Model (G4M)</w:t>
      </w:r>
      <w:r w:rsidDel="00000000" w:rsidR="00000000" w:rsidRPr="00000000">
        <w:rPr>
          <w:rFonts w:ascii="Calibri" w:cs="Calibri" w:eastAsia="Calibri" w:hAnsi="Calibri"/>
          <w:i w:val="1"/>
          <w:iCs w:val="1"/>
          <w:smallCaps w:val="0"/>
          <w:strike w:val="0"/>
          <w:color w:val="000000"/>
          <w:sz w:val="20"/>
          <w:szCs w:val="20"/>
          <w:u w:val="none"/>
          <w:shd w:fill="auto" w:val="clear"/>
          <w:vertAlign w:val="baseline"/>
          <w:rtl w:val="0"/>
        </w:rPr>
        <w:t xml:space="preserve">, for which Finnish data already exist, to generate the forest-management and disturbance-driven biomass supply curves that feed EnergyScope Finland. It also proposes to close the single most important methodological gap in the current working paper,  notably the </w:t>
      </w:r>
      <w:r w:rsidDel="00000000" w:rsidR="00000000" w:rsidRPr="00000000">
        <w:rPr>
          <w:rFonts w:ascii="Calibri" w:cs="Calibri" w:eastAsia="Calibri" w:hAnsi="Calibri"/>
          <w:i w:val="1"/>
          <w:iCs w:val="1"/>
          <w:smallCaps w:val="0"/>
          <w:strike w:val="0"/>
          <w:color w:val="000000"/>
          <w:sz w:val="20"/>
          <w:szCs w:val="20"/>
          <w:u w:val="none"/>
          <w:shd w:fill="auto" w:val="clear"/>
          <w:vertAlign w:val="baseline"/>
          <w:rtl w:val="0"/>
        </w:rPr>
        <w:t xml:space="preserve">absence of the forest carbon sink</w:t>
      </w:r>
      <w:r w:rsidDel="00000000" w:rsidR="00000000" w:rsidRPr="00000000">
        <w:rPr>
          <w:rFonts w:ascii="Calibri" w:cs="Calibri" w:eastAsia="Calibri" w:hAnsi="Calibri"/>
          <w:i w:val="1"/>
          <w:iCs w:val="1"/>
          <w:smallCaps w:val="0"/>
          <w:strike w:val="0"/>
          <w:color w:val="000000"/>
          <w:sz w:val="20"/>
          <w:szCs w:val="20"/>
          <w:u w:val="none"/>
          <w:shd w:fill="auto" w:val="clear"/>
          <w:vertAlign w:val="baseline"/>
          <w:rtl w:val="0"/>
        </w:rPr>
        <w:t xml:space="preserve">,  and opens a path toward a European extension with the </w:t>
      </w:r>
      <w:r w:rsidDel="00000000" w:rsidR="00000000" w:rsidRPr="00000000">
        <w:rPr>
          <w:rFonts w:ascii="Calibri" w:cs="Calibri" w:eastAsia="Calibri" w:hAnsi="Calibri"/>
          <w:i w:val="1"/>
          <w:iCs w:val="1"/>
          <w:smallCaps w:val="0"/>
          <w:strike w:val="0"/>
          <w:color w:val="000000"/>
          <w:sz w:val="20"/>
          <w:szCs w:val="20"/>
          <w:u w:val="none"/>
          <w:shd w:fill="auto" w:val="clear"/>
          <w:vertAlign w:val="baseline"/>
          <w:rtl w:val="0"/>
        </w:rPr>
        <w:t xml:space="preserve">BeWhere</w:t>
      </w:r>
      <w:r w:rsidDel="00000000" w:rsidR="00000000" w:rsidRPr="00000000">
        <w:rPr>
          <w:rFonts w:ascii="Calibri" w:cs="Calibri" w:eastAsia="Calibri" w:hAnsi="Calibri"/>
          <w:i w:val="1"/>
          <w:iCs w:val="1"/>
          <w:smallCaps w:val="0"/>
          <w:strike w:val="0"/>
          <w:color w:val="000000"/>
          <w:sz w:val="20"/>
          <w:szCs w:val="20"/>
          <w:u w:val="none"/>
          <w:shd w:fill="auto" w:val="clear"/>
          <w:vertAlign w:val="baseline"/>
          <w:rtl w:val="0"/>
        </w:rPr>
        <w:t xml:space="preserve"> model.</w:t>
      </w:r>
    </w:p>
    <w:p w:rsidR="00000000" w:rsidDel="00000000" w:rsidP="00000000" w:rsidRDefault="00000000" w:rsidRPr="00000000" w14:paraId="00000009">
      <w:pPr>
        <w:pBdr>
          <w:bottom w:color="c8d2cb" w:space="1" w:sz="6" w:val="single"/>
        </w:pBdr>
        <w:spacing w:after="120" w:before="40" w:lineRule="auto"/>
        <w:rPr>
          <w:rFonts w:ascii="Calibri" w:cs="Calibri" w:eastAsia="Calibri" w:hAnsi="Calibri"/>
        </w:rPr>
      </w:pPr>
      <w:r w:rsidDel="00000000" w:rsidR="00000000" w:rsidRPr="00000000">
        <w:rPr>
          <w:rtl w:val="0"/>
        </w:rPr>
      </w:r>
    </w:p>
    <w:p w:rsidR="00000000" w:rsidDel="00000000" w:rsidP="00000000" w:rsidRDefault="00000000" w:rsidRPr="00000000" w14:paraId="0000000A">
      <w:pPr>
        <w:pStyle w:val="Heading1"/>
        <w:rPr>
          <w:b w:val="0"/>
          <w:bCs w:val="0"/>
        </w:rPr>
      </w:pPr>
      <w:r w:rsidDel="00000000" w:rsidR="00000000" w:rsidRPr="00000000">
        <w:rPr>
          <w:b w:val="0"/>
          <w:bCs w:val="0"/>
          <w:rtl w:val="0"/>
        </w:rPr>
        <w:t xml:space="preserve">1. Context and motivation</w:t>
      </w:r>
    </w:p>
    <w:p w:rsidR="00000000" w:rsidDel="00000000" w:rsidP="00000000" w:rsidRDefault="00000000" w:rsidRPr="00000000" w14:paraId="0000000B">
      <w:pPr>
        <w:rPr>
          <w:rFonts w:ascii="Calibri" w:cs="Calibri" w:eastAsia="Calibri" w:hAnsi="Calibri"/>
        </w:rPr>
      </w:pPr>
      <w:r w:rsidDel="00000000" w:rsidR="00000000" w:rsidRPr="00000000">
        <w:rPr>
          <w:rFonts w:ascii="Calibri" w:cs="Calibri" w:eastAsia="Calibri" w:hAnsi="Calibri"/>
          <w:rtl w:val="0"/>
        </w:rPr>
        <w:t xml:space="preserve">Forest biomass supplies roughly a quarter of Finland's primary energy and is the main domestic lever for deep decarbonisation. But its availability shaped by forest management choices, competing industrial uses (pulp, paper, sawnwood), ecological constraints on residue and deadwood retention, and  increasingly  by natural disturbances amplified by climate change (bark beetle, windstorm, wildfire).</w:t>
      </w:r>
    </w:p>
    <w:p w:rsidR="00000000" w:rsidDel="00000000" w:rsidP="00000000" w:rsidRDefault="00000000" w:rsidRPr="00000000" w14:paraId="0000000C">
      <w:pPr>
        <w:rPr>
          <w:rFonts w:ascii="Calibri" w:cs="Calibri" w:eastAsia="Calibri" w:hAnsi="Calibri"/>
        </w:rPr>
      </w:pPr>
      <w:r w:rsidDel="00000000" w:rsidR="00000000" w:rsidRPr="00000000">
        <w:rPr>
          <w:rFonts w:ascii="Calibri" w:cs="Calibri" w:eastAsia="Calibri" w:hAnsi="Calibri"/>
          <w:rtl w:val="0"/>
        </w:rPr>
        <w:t xml:space="preserve">Most whole-energy-system models treat wood as a single, homogeneous, unconstrained resource. Colla et al. (2022) showed for Belgium that representing biomass instead as a multi-step marginal-cost supply curve materially changes its optimal allocation, especially under deep decarbonisation. The first working paper of this project applied and extended that idea to Finland, a structurally richer and more policy-contested case, and is now essentially complete (Section 2).</w:t>
      </w:r>
    </w:p>
    <w:p w:rsidR="00000000" w:rsidDel="00000000" w:rsidP="00000000" w:rsidRDefault="00000000" w:rsidRPr="00000000" w14:paraId="0000000D">
      <w:pPr>
        <w:rPr>
          <w:rFonts w:ascii="Calibri" w:cs="Calibri" w:eastAsia="Calibri" w:hAnsi="Calibri"/>
        </w:rPr>
      </w:pPr>
      <w:r w:rsidDel="00000000" w:rsidR="00000000" w:rsidRPr="00000000">
        <w:rPr>
          <w:rFonts w:ascii="Calibri" w:cs="Calibri" w:eastAsia="Calibri" w:hAnsi="Calibri"/>
          <w:rtl w:val="0"/>
        </w:rPr>
        <w:t xml:space="preserve">The logical next step is to make the supply curves endogenous to forest dynamics rather than read from a static database, so that (i) management intensity and (ii) physical disturbance shocks propagate into the energy system through both the quantity/cost of wood and the forest carbon balance. G4M, its PICUS extensions, and relevant literature should be well suited to provide these outputs for Finland.</w:t>
      </w:r>
    </w:p>
    <w:p w:rsidR="00000000" w:rsidDel="00000000" w:rsidP="00000000" w:rsidRDefault="00000000" w:rsidRPr="00000000" w14:paraId="0000000E">
      <w:pPr>
        <w:pBdr>
          <w:bottom w:color="c8d2cb" w:space="1" w:sz="6" w:val="single"/>
        </w:pBdr>
        <w:spacing w:after="120" w:before="40" w:lineRule="auto"/>
        <w:rPr>
          <w:rFonts w:ascii="Calibri" w:cs="Calibri" w:eastAsia="Calibri" w:hAnsi="Calibri"/>
        </w:rPr>
      </w:pPr>
      <w:r w:rsidDel="00000000" w:rsidR="00000000" w:rsidRPr="00000000">
        <w:rPr>
          <w:rtl w:val="0"/>
        </w:rPr>
      </w:r>
    </w:p>
    <w:p w:rsidR="00000000" w:rsidDel="00000000" w:rsidP="00000000" w:rsidRDefault="00000000" w:rsidRPr="00000000" w14:paraId="0000000F">
      <w:pPr>
        <w:pStyle w:val="Heading1"/>
        <w:rPr>
          <w:b w:val="0"/>
          <w:bCs w:val="0"/>
        </w:rPr>
      </w:pPr>
      <w:r w:rsidDel="00000000" w:rsidR="00000000" w:rsidRPr="00000000">
        <w:rPr>
          <w:b w:val="0"/>
          <w:bCs w:val="0"/>
          <w:rtl w:val="0"/>
        </w:rPr>
        <w:t xml:space="preserve">2. State of the working paper (what is already done in the working paper)</w:t>
      </w:r>
    </w:p>
    <w:p w:rsidR="00000000" w:rsidDel="00000000" w:rsidP="00000000" w:rsidRDefault="00000000" w:rsidRPr="00000000" w14:paraId="00000010">
      <w:pPr>
        <w:rPr>
          <w:rFonts w:ascii="Calibri" w:cs="Calibri" w:eastAsia="Calibri" w:hAnsi="Calibri"/>
          <w:i w:val="1"/>
          <w:iCs w:val="1"/>
        </w:rPr>
      </w:pPr>
      <w:r w:rsidDel="00000000" w:rsidR="00000000" w:rsidRPr="00000000">
        <w:rPr>
          <w:rFonts w:ascii="Calibri" w:cs="Calibri" w:eastAsia="Calibri" w:hAnsi="Calibri"/>
          <w:rtl w:val="0"/>
        </w:rPr>
        <w:t xml:space="preserve">The first paper — </w:t>
      </w:r>
      <w:r w:rsidDel="00000000" w:rsidR="00000000" w:rsidRPr="00000000">
        <w:rPr>
          <w:rFonts w:ascii="Calibri" w:cs="Calibri" w:eastAsia="Calibri" w:hAnsi="Calibri"/>
          <w:i w:val="1"/>
          <w:iCs w:val="1"/>
          <w:rtl w:val="0"/>
        </w:rPr>
        <w:t xml:space="preserve">From Bioeconomy Promise to Biodiversity Ceiling: The Role of Forest Biomass in Finnish Decarbonisation</w:t>
      </w:r>
      <w:r w:rsidDel="00000000" w:rsidR="00000000" w:rsidRPr="00000000">
        <w:rPr>
          <w:rFonts w:ascii="Calibri" w:cs="Calibri" w:eastAsia="Calibri" w:hAnsi="Calibri"/>
          <w:rtl w:val="0"/>
        </w:rPr>
        <w:t xml:space="preserve">— is built and its results should be read as stylized. In short:</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Calibrated 2017 baseline.</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EnergyScope Finland reproduces the 2017 national energy balance to a weighted error of ~1.2% across 14 scored indicators (primary energy, electricity mix, CO₂ within 0.1%). </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54"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Stepwise Finnish wood supply curves (2035).</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The single </w:t>
      </w:r>
      <w:r w:rsidDel="00000000" w:rsidR="00000000" w:rsidRPr="00000000">
        <w:rPr>
          <w:rFonts w:ascii="Calibri" w:cs="Calibri" w:eastAsia="Calibri" w:hAnsi="Calibri"/>
          <w:i w:val="0"/>
          <w:iCs w:val="0"/>
          <w:smallCaps w:val="0"/>
          <w:strike w:val="0"/>
          <w:color w:val="000000"/>
          <w:sz w:val="18"/>
          <w:szCs w:val="18"/>
          <w:u w:val="none"/>
          <w:shd w:fill="auto" w:val="clear"/>
          <w:vertAlign w:val="baseline"/>
          <w:rtl w:val="0"/>
        </w:rPr>
        <w:t xml:space="preserve">WOOD</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resource is replaced by four domestic steps plus an import backstop, dispatched in merit order:</w:t>
      </w:r>
    </w:p>
    <w:tbl>
      <w:tblPr>
        <w:tblStyle w:val="Table1"/>
        <w:tblW w:w="1008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61"/>
        <w:gridCol w:w="3361"/>
        <w:gridCol w:w="3360"/>
        <w:tblGridChange w:id="0">
          <w:tblGrid>
            <w:gridCol w:w="3361"/>
            <w:gridCol w:w="3361"/>
            <w:gridCol w:w="3360"/>
          </w:tblGrid>
        </w:tblGridChange>
      </w:tblGrid>
      <w:tr>
        <w:trPr>
          <w:cantSplit w:val="0"/>
          <w:tblHeader w:val="0"/>
        </w:trPr>
        <w:tc>
          <w:tcPr>
            <w:shd w:fill="e9f0ea" w:val="clear"/>
          </w:tcPr>
          <w:p w:rsidR="00000000" w:rsidDel="00000000" w:rsidP="00000000" w:rsidRDefault="00000000" w:rsidRPr="00000000" w14:paraId="00000013">
            <w:pPr>
              <w:spacing w:after="20" w:lineRule="auto"/>
              <w:rPr>
                <w:rFonts w:ascii="Calibri" w:cs="Calibri" w:eastAsia="Calibri" w:hAnsi="Calibri"/>
              </w:rPr>
            </w:pPr>
            <w:r w:rsidDel="00000000" w:rsidR="00000000" w:rsidRPr="00000000">
              <w:rPr>
                <w:rFonts w:ascii="Calibri" w:cs="Calibri" w:eastAsia="Calibri" w:hAnsi="Calibri"/>
                <w:rtl w:val="0"/>
              </w:rPr>
              <w:t xml:space="preserve">Step</w:t>
            </w:r>
          </w:p>
        </w:tc>
        <w:tc>
          <w:tcPr>
            <w:shd w:fill="e9f0ea" w:val="clear"/>
          </w:tcPr>
          <w:p w:rsidR="00000000" w:rsidDel="00000000" w:rsidP="00000000" w:rsidRDefault="00000000" w:rsidRPr="00000000" w14:paraId="00000014">
            <w:pPr>
              <w:spacing w:after="20" w:lineRule="auto"/>
              <w:rPr>
                <w:rFonts w:ascii="Calibri" w:cs="Calibri" w:eastAsia="Calibri" w:hAnsi="Calibri"/>
              </w:rPr>
            </w:pPr>
            <w:r w:rsidDel="00000000" w:rsidR="00000000" w:rsidRPr="00000000">
              <w:rPr>
                <w:rFonts w:ascii="Calibri" w:cs="Calibri" w:eastAsia="Calibri" w:hAnsi="Calibri"/>
                <w:rtl w:val="0"/>
              </w:rPr>
              <w:t xml:space="preserve">Interpretation</w:t>
            </w:r>
          </w:p>
        </w:tc>
        <w:tc>
          <w:tcPr>
            <w:shd w:fill="e9f0ea" w:val="clear"/>
          </w:tcPr>
          <w:p w:rsidR="00000000" w:rsidDel="00000000" w:rsidP="00000000" w:rsidRDefault="00000000" w:rsidRPr="00000000" w14:paraId="00000015">
            <w:pPr>
              <w:spacing w:after="20" w:lineRule="auto"/>
              <w:rPr>
                <w:rFonts w:ascii="Calibri" w:cs="Calibri" w:eastAsia="Calibri" w:hAnsi="Calibri"/>
              </w:rPr>
            </w:pPr>
            <w:r w:rsidDel="00000000" w:rsidR="00000000" w:rsidRPr="00000000">
              <w:rPr>
                <w:rFonts w:ascii="Calibri" w:cs="Calibri" w:eastAsia="Calibri" w:hAnsi="Calibri"/>
                <w:rtl w:val="0"/>
              </w:rPr>
              <w:t xml:space="preserve">Marginal cost</w:t>
            </w:r>
          </w:p>
        </w:tc>
      </w:tr>
      <w:tr>
        <w:trPr>
          <w:cantSplit w:val="0"/>
          <w:tblHeader w:val="0"/>
        </w:trPr>
        <w:tc>
          <w:tcPr/>
          <w:p w:rsidR="00000000" w:rsidDel="00000000" w:rsidP="00000000" w:rsidRDefault="00000000" w:rsidRPr="00000000" w14:paraId="00000016">
            <w:pPr>
              <w:spacing w:after="20" w:lineRule="auto"/>
              <w:rPr>
                <w:rFonts w:ascii="Calibri" w:cs="Calibri" w:eastAsia="Calibri" w:hAnsi="Calibri"/>
              </w:rPr>
            </w:pPr>
            <w:r w:rsidDel="00000000" w:rsidR="00000000" w:rsidRPr="00000000">
              <w:rPr>
                <w:rFonts w:ascii="Calibri" w:cs="Calibri" w:eastAsia="Calibri" w:hAnsi="Calibri"/>
                <w:sz w:val="18"/>
                <w:szCs w:val="18"/>
                <w:rtl w:val="0"/>
              </w:rPr>
              <w:t xml:space="preserve">WOOD_FI1</w:t>
            </w:r>
            <w:r w:rsidDel="00000000" w:rsidR="00000000" w:rsidRPr="00000000">
              <w:rPr>
                <w:rtl w:val="0"/>
              </w:rPr>
            </w:r>
          </w:p>
        </w:tc>
        <w:tc>
          <w:tcPr/>
          <w:p w:rsidR="00000000" w:rsidDel="00000000" w:rsidP="00000000" w:rsidRDefault="00000000" w:rsidRPr="00000000" w14:paraId="00000017">
            <w:pPr>
              <w:spacing w:after="20" w:lineRule="auto"/>
              <w:rPr>
                <w:rFonts w:ascii="Calibri" w:cs="Calibri" w:eastAsia="Calibri" w:hAnsi="Calibri"/>
              </w:rPr>
            </w:pPr>
            <w:r w:rsidDel="00000000" w:rsidR="00000000" w:rsidRPr="00000000">
              <w:rPr>
                <w:rFonts w:ascii="Calibri" w:cs="Calibri" w:eastAsia="Calibri" w:hAnsi="Calibri"/>
                <w:rtl w:val="0"/>
              </w:rPr>
              <w:t xml:space="preserve">industrial by-products (black liquor, bark, sawdust)</w:t>
            </w:r>
          </w:p>
        </w:tc>
        <w:tc>
          <w:tcPr/>
          <w:p w:rsidR="00000000" w:rsidDel="00000000" w:rsidP="00000000" w:rsidRDefault="00000000" w:rsidRPr="00000000" w14:paraId="00000018">
            <w:pPr>
              <w:spacing w:after="20" w:lineRule="auto"/>
              <w:rPr>
                <w:rFonts w:ascii="Calibri" w:cs="Calibri" w:eastAsia="Calibri" w:hAnsi="Calibri"/>
              </w:rPr>
            </w:pPr>
            <w:r w:rsidDel="00000000" w:rsidR="00000000" w:rsidRPr="00000000">
              <w:rPr>
                <w:rFonts w:ascii="Calibri" w:cs="Calibri" w:eastAsia="Calibri" w:hAnsi="Calibri"/>
                <w:rtl w:val="0"/>
              </w:rPr>
              <w:t xml:space="preserve">11 €/MWh</w:t>
            </w:r>
          </w:p>
        </w:tc>
      </w:tr>
      <w:tr>
        <w:trPr>
          <w:cantSplit w:val="0"/>
          <w:tblHeader w:val="0"/>
        </w:trPr>
        <w:tc>
          <w:tcPr/>
          <w:p w:rsidR="00000000" w:rsidDel="00000000" w:rsidP="00000000" w:rsidRDefault="00000000" w:rsidRPr="00000000" w14:paraId="00000019">
            <w:pPr>
              <w:spacing w:after="20" w:lineRule="auto"/>
              <w:rPr>
                <w:rFonts w:ascii="Calibri" w:cs="Calibri" w:eastAsia="Calibri" w:hAnsi="Calibri"/>
              </w:rPr>
            </w:pPr>
            <w:r w:rsidDel="00000000" w:rsidR="00000000" w:rsidRPr="00000000">
              <w:rPr>
                <w:rFonts w:ascii="Calibri" w:cs="Calibri" w:eastAsia="Calibri" w:hAnsi="Calibri"/>
                <w:sz w:val="18"/>
                <w:szCs w:val="18"/>
                <w:rtl w:val="0"/>
              </w:rPr>
              <w:t xml:space="preserve">WOOD_FI2</w:t>
            </w:r>
            <w:r w:rsidDel="00000000" w:rsidR="00000000" w:rsidRPr="00000000">
              <w:rPr>
                <w:rtl w:val="0"/>
              </w:rPr>
            </w:r>
          </w:p>
        </w:tc>
        <w:tc>
          <w:tcPr/>
          <w:p w:rsidR="00000000" w:rsidDel="00000000" w:rsidP="00000000" w:rsidRDefault="00000000" w:rsidRPr="00000000" w14:paraId="0000001A">
            <w:pPr>
              <w:spacing w:after="20" w:lineRule="auto"/>
              <w:rPr>
                <w:rFonts w:ascii="Calibri" w:cs="Calibri" w:eastAsia="Calibri" w:hAnsi="Calibri"/>
              </w:rPr>
            </w:pPr>
            <w:r w:rsidDel="00000000" w:rsidR="00000000" w:rsidRPr="00000000">
              <w:rPr>
                <w:rFonts w:ascii="Calibri" w:cs="Calibri" w:eastAsia="Calibri" w:hAnsi="Calibri"/>
                <w:rtl w:val="0"/>
              </w:rPr>
              <w:t xml:space="preserve">logging residues (branches, tops)</w:t>
            </w:r>
          </w:p>
        </w:tc>
        <w:tc>
          <w:tcPr/>
          <w:p w:rsidR="00000000" w:rsidDel="00000000" w:rsidP="00000000" w:rsidRDefault="00000000" w:rsidRPr="00000000" w14:paraId="0000001B">
            <w:pPr>
              <w:spacing w:after="20" w:lineRule="auto"/>
              <w:rPr>
                <w:rFonts w:ascii="Calibri" w:cs="Calibri" w:eastAsia="Calibri" w:hAnsi="Calibri"/>
              </w:rPr>
            </w:pPr>
            <w:r w:rsidDel="00000000" w:rsidR="00000000" w:rsidRPr="00000000">
              <w:rPr>
                <w:rFonts w:ascii="Calibri" w:cs="Calibri" w:eastAsia="Calibri" w:hAnsi="Calibri"/>
                <w:rtl w:val="0"/>
              </w:rPr>
              <w:t xml:space="preserve">22 €/MWh (26 in S3)</w:t>
            </w:r>
          </w:p>
        </w:tc>
      </w:tr>
      <w:tr>
        <w:trPr>
          <w:cantSplit w:val="0"/>
          <w:tblHeader w:val="0"/>
        </w:trPr>
        <w:tc>
          <w:tcPr/>
          <w:p w:rsidR="00000000" w:rsidDel="00000000" w:rsidP="00000000" w:rsidRDefault="00000000" w:rsidRPr="00000000" w14:paraId="0000001C">
            <w:pPr>
              <w:spacing w:after="20" w:lineRule="auto"/>
              <w:rPr>
                <w:rFonts w:ascii="Calibri" w:cs="Calibri" w:eastAsia="Calibri" w:hAnsi="Calibri"/>
              </w:rPr>
            </w:pPr>
            <w:r w:rsidDel="00000000" w:rsidR="00000000" w:rsidRPr="00000000">
              <w:rPr>
                <w:rFonts w:ascii="Calibri" w:cs="Calibri" w:eastAsia="Calibri" w:hAnsi="Calibri"/>
                <w:sz w:val="18"/>
                <w:szCs w:val="18"/>
                <w:rtl w:val="0"/>
              </w:rPr>
              <w:t xml:space="preserve">WOOD_FI3</w:t>
            </w:r>
            <w:r w:rsidDel="00000000" w:rsidR="00000000" w:rsidRPr="00000000">
              <w:rPr>
                <w:rtl w:val="0"/>
              </w:rPr>
            </w:r>
          </w:p>
        </w:tc>
        <w:tc>
          <w:tcPr/>
          <w:p w:rsidR="00000000" w:rsidDel="00000000" w:rsidP="00000000" w:rsidRDefault="00000000" w:rsidRPr="00000000" w14:paraId="0000001D">
            <w:pPr>
              <w:spacing w:after="20" w:lineRule="auto"/>
              <w:rPr>
                <w:rFonts w:ascii="Calibri" w:cs="Calibri" w:eastAsia="Calibri" w:hAnsi="Calibri"/>
              </w:rPr>
            </w:pPr>
            <w:r w:rsidDel="00000000" w:rsidR="00000000" w:rsidRPr="00000000">
              <w:rPr>
                <w:rFonts w:ascii="Calibri" w:cs="Calibri" w:eastAsia="Calibri" w:hAnsi="Calibri"/>
                <w:rtl w:val="0"/>
              </w:rPr>
              <w:t xml:space="preserve">secondary woodchips / sawdust</w:t>
            </w:r>
          </w:p>
        </w:tc>
        <w:tc>
          <w:tcPr/>
          <w:p w:rsidR="00000000" w:rsidDel="00000000" w:rsidP="00000000" w:rsidRDefault="00000000" w:rsidRPr="00000000" w14:paraId="0000001E">
            <w:pPr>
              <w:spacing w:after="20" w:lineRule="auto"/>
              <w:rPr>
                <w:rFonts w:ascii="Calibri" w:cs="Calibri" w:eastAsia="Calibri" w:hAnsi="Calibri"/>
              </w:rPr>
            </w:pPr>
            <w:r w:rsidDel="00000000" w:rsidR="00000000" w:rsidRPr="00000000">
              <w:rPr>
                <w:rFonts w:ascii="Calibri" w:cs="Calibri" w:eastAsia="Calibri" w:hAnsi="Calibri"/>
                <w:rtl w:val="0"/>
              </w:rPr>
              <w:t xml:space="preserve">27 €/MWh</w:t>
            </w:r>
          </w:p>
        </w:tc>
      </w:tr>
      <w:tr>
        <w:trPr>
          <w:cantSplit w:val="0"/>
          <w:tblHeader w:val="0"/>
        </w:trPr>
        <w:tc>
          <w:tcPr/>
          <w:p w:rsidR="00000000" w:rsidDel="00000000" w:rsidP="00000000" w:rsidRDefault="00000000" w:rsidRPr="00000000" w14:paraId="0000001F">
            <w:pPr>
              <w:spacing w:after="20" w:lineRule="auto"/>
              <w:rPr>
                <w:rFonts w:ascii="Calibri" w:cs="Calibri" w:eastAsia="Calibri" w:hAnsi="Calibri"/>
              </w:rPr>
            </w:pPr>
            <w:r w:rsidDel="00000000" w:rsidR="00000000" w:rsidRPr="00000000">
              <w:rPr>
                <w:rFonts w:ascii="Calibri" w:cs="Calibri" w:eastAsia="Calibri" w:hAnsi="Calibri"/>
                <w:sz w:val="18"/>
                <w:szCs w:val="18"/>
                <w:rtl w:val="0"/>
              </w:rPr>
              <w:t xml:space="preserve">WOOD_FI4</w:t>
            </w:r>
            <w:r w:rsidDel="00000000" w:rsidR="00000000" w:rsidRPr="00000000">
              <w:rPr>
                <w:rtl w:val="0"/>
              </w:rPr>
            </w:r>
          </w:p>
        </w:tc>
        <w:tc>
          <w:tcPr/>
          <w:p w:rsidR="00000000" w:rsidDel="00000000" w:rsidP="00000000" w:rsidRDefault="00000000" w:rsidRPr="00000000" w14:paraId="00000020">
            <w:pPr>
              <w:spacing w:after="20" w:lineRule="auto"/>
              <w:rPr>
                <w:rFonts w:ascii="Calibri" w:cs="Calibri" w:eastAsia="Calibri" w:hAnsi="Calibri"/>
              </w:rPr>
            </w:pPr>
            <w:r w:rsidDel="00000000" w:rsidR="00000000" w:rsidRPr="00000000">
              <w:rPr>
                <w:rFonts w:ascii="Calibri" w:cs="Calibri" w:eastAsia="Calibri" w:hAnsi="Calibri"/>
                <w:rtl w:val="0"/>
              </w:rPr>
              <w:t xml:space="preserve">direct fuelwood + landscape-care wood</w:t>
            </w:r>
          </w:p>
        </w:tc>
        <w:tc>
          <w:tcPr/>
          <w:p w:rsidR="00000000" w:rsidDel="00000000" w:rsidP="00000000" w:rsidRDefault="00000000" w:rsidRPr="00000000" w14:paraId="00000021">
            <w:pPr>
              <w:spacing w:after="20" w:lineRule="auto"/>
              <w:rPr>
                <w:rFonts w:ascii="Calibri" w:cs="Calibri" w:eastAsia="Calibri" w:hAnsi="Calibri"/>
              </w:rPr>
            </w:pPr>
            <w:r w:rsidDel="00000000" w:rsidR="00000000" w:rsidRPr="00000000">
              <w:rPr>
                <w:rFonts w:ascii="Calibri" w:cs="Calibri" w:eastAsia="Calibri" w:hAnsi="Calibri"/>
                <w:rtl w:val="0"/>
              </w:rPr>
              <w:t xml:space="preserve">33 €/MWh</w:t>
            </w:r>
          </w:p>
        </w:tc>
      </w:tr>
      <w:tr>
        <w:trPr>
          <w:cantSplit w:val="0"/>
          <w:tblHeader w:val="0"/>
        </w:trPr>
        <w:tc>
          <w:tcPr/>
          <w:p w:rsidR="00000000" w:rsidDel="00000000" w:rsidP="00000000" w:rsidRDefault="00000000" w:rsidRPr="00000000" w14:paraId="00000022">
            <w:pPr>
              <w:spacing w:after="20" w:lineRule="auto"/>
              <w:rPr>
                <w:rFonts w:ascii="Calibri" w:cs="Calibri" w:eastAsia="Calibri" w:hAnsi="Calibri"/>
              </w:rPr>
            </w:pPr>
            <w:r w:rsidDel="00000000" w:rsidR="00000000" w:rsidRPr="00000000">
              <w:rPr>
                <w:rFonts w:ascii="Calibri" w:cs="Calibri" w:eastAsia="Calibri" w:hAnsi="Calibri"/>
                <w:sz w:val="18"/>
                <w:szCs w:val="18"/>
                <w:rtl w:val="0"/>
              </w:rPr>
              <w:t xml:space="preserve">WOOD_FI5</w:t>
            </w:r>
            <w:r w:rsidDel="00000000" w:rsidR="00000000" w:rsidRPr="00000000">
              <w:rPr>
                <w:rtl w:val="0"/>
              </w:rPr>
            </w:r>
          </w:p>
        </w:tc>
        <w:tc>
          <w:tcPr/>
          <w:p w:rsidR="00000000" w:rsidDel="00000000" w:rsidP="00000000" w:rsidRDefault="00000000" w:rsidRPr="00000000" w14:paraId="00000023">
            <w:pPr>
              <w:spacing w:after="20" w:lineRule="auto"/>
              <w:rPr>
                <w:rFonts w:ascii="Calibri" w:cs="Calibri" w:eastAsia="Calibri" w:hAnsi="Calibri"/>
              </w:rPr>
            </w:pPr>
            <w:r w:rsidDel="00000000" w:rsidR="00000000" w:rsidRPr="00000000">
              <w:rPr>
                <w:rFonts w:ascii="Calibri" w:cs="Calibri" w:eastAsia="Calibri" w:hAnsi="Calibri"/>
                <w:rtl w:val="0"/>
              </w:rPr>
              <w:t xml:space="preserve">Baltic/Nordic import backstop</w:t>
            </w:r>
          </w:p>
        </w:tc>
        <w:tc>
          <w:tcPr/>
          <w:p w:rsidR="00000000" w:rsidDel="00000000" w:rsidP="00000000" w:rsidRDefault="00000000" w:rsidRPr="00000000" w14:paraId="00000024">
            <w:pPr>
              <w:spacing w:after="20" w:lineRule="auto"/>
              <w:rPr>
                <w:rFonts w:ascii="Calibri" w:cs="Calibri" w:eastAsia="Calibri" w:hAnsi="Calibri"/>
              </w:rPr>
            </w:pPr>
            <w:r w:rsidDel="00000000" w:rsidR="00000000" w:rsidRPr="00000000">
              <w:rPr>
                <w:rFonts w:ascii="Calibri" w:cs="Calibri" w:eastAsia="Calibri" w:hAnsi="Calibri"/>
                <w:rtl w:val="0"/>
              </w:rPr>
              <w:t xml:space="preserve">70 €/MWh</w:t>
            </w:r>
          </w:p>
        </w:tc>
      </w:tr>
    </w:tbl>
    <w:p w:rsidR="00000000" w:rsidDel="00000000" w:rsidP="00000000" w:rsidRDefault="00000000" w:rsidRPr="00000000" w14:paraId="00000025">
      <w:pPr>
        <w:spacing w:after="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Three forest-management scenarios</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mapped from the Finnish policy literature (Blattert et al. 2022) and the ecological harvest ceiling (Mönkkönen et al. 2024), and parameterised from the EC/JRC </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ENSPRESO</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biomass database:</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S1 / BES</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(Bioeconomy) — stylised high-mobilisation case, ~122 TWh domestic wood;</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S2 / NFS</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(National Forest Strategy) — ENSPRESO-medium baseline, ~102 TWh;</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S3 / BDS</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(Biodiversity) — conservative ceiling revised down to ~40 TWh after a three-way audit against LUKE 2024 observed use, the Mönkkönen ecological ceiling, and competing industrial roundwood demand.</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54"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Completed 3 × 3 scenario matrix</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{S1, S2, S3} × {unconstrained, −95% GHG with nuclear, −95% GHG no-nuclear}. Headline findings: the 2035 system is already ~70% below 2017 even unconstrained; under −95% the conservation scenario (S3) saturates its wood ceiling and becomes the most expensive configuration; removing nuclear sharply raises the value of biomass in S1/S2 but S3 cannot expand.</w:t>
      </w:r>
    </w:p>
    <w:p w:rsidR="00000000" w:rsidDel="00000000" w:rsidP="00000000" w:rsidRDefault="00000000" w:rsidRPr="00000000" w14:paraId="0000002B">
      <w:pPr>
        <w:rPr>
          <w:rFonts w:ascii="Calibri" w:cs="Calibri" w:eastAsia="Calibri" w:hAnsi="Calibri"/>
        </w:rPr>
      </w:pPr>
      <w:r w:rsidDel="00000000" w:rsidR="00000000" w:rsidRPr="00000000">
        <w:rPr>
          <w:rFonts w:ascii="Calibri" w:cs="Calibri" w:eastAsia="Calibri" w:hAnsi="Calibri"/>
          <w:rtl w:val="0"/>
        </w:rPr>
        <w:t xml:space="preserve">CAVEAT:</w:t>
      </w:r>
    </w:p>
    <w:p w:rsidR="00000000" w:rsidDel="00000000" w:rsidP="00000000" w:rsidRDefault="00000000" w:rsidRPr="00000000" w14:paraId="0000002C">
      <w:pPr>
        <w:rPr>
          <w:rFonts w:ascii="Calibri" w:cs="Calibri" w:eastAsia="Calibri" w:hAnsi="Calibri"/>
        </w:rPr>
      </w:pPr>
      <w:r w:rsidDel="00000000" w:rsidR="00000000" w:rsidRPr="00000000">
        <w:rPr>
          <w:rFonts w:ascii="Calibri" w:cs="Calibri" w:eastAsia="Calibri" w:hAnsi="Calibri"/>
          <w:rtl w:val="0"/>
        </w:rPr>
        <w:t xml:space="preserve">1. </w:t>
      </w:r>
      <w:r w:rsidDel="00000000" w:rsidR="00000000" w:rsidRPr="00000000">
        <w:rPr>
          <w:rFonts w:ascii="Calibri" w:cs="Calibri" w:eastAsia="Calibri" w:hAnsi="Calibri"/>
          <w:i w:val="1"/>
          <w:iCs w:val="1"/>
          <w:rtl w:val="0"/>
        </w:rPr>
        <w:t xml:space="preserve">Grounded:</w:t>
      </w:r>
      <w:r w:rsidDel="00000000" w:rsidR="00000000" w:rsidRPr="00000000">
        <w:rPr>
          <w:rFonts w:ascii="Calibri" w:cs="Calibri" w:eastAsia="Calibri" w:hAnsi="Calibri"/>
          <w:rtl w:val="0"/>
        </w:rPr>
        <w:t xml:space="preserve"> the ENSPRESO→scenario mapping, the cost/GHG parameters follow Colla (2022) and RED II Annex VI, and the S1 (+20%) and S3 (40 TWh) values are explicitly flagged as stylised/revised rather than raw ENSPRESO.</w:t>
      </w:r>
    </w:p>
    <w:p w:rsidR="00000000" w:rsidDel="00000000" w:rsidP="00000000" w:rsidRDefault="00000000" w:rsidRPr="00000000" w14:paraId="0000002D">
      <w:pPr>
        <w:rPr>
          <w:rFonts w:ascii="Calibri" w:cs="Calibri" w:eastAsia="Calibri" w:hAnsi="Calibri"/>
        </w:rPr>
      </w:pPr>
      <w:r w:rsidDel="00000000" w:rsidR="00000000" w:rsidRPr="00000000">
        <w:rPr>
          <w:rFonts w:ascii="Calibri" w:cs="Calibri" w:eastAsia="Calibri" w:hAnsi="Calibri"/>
          <w:rtl w:val="0"/>
        </w:rPr>
        <w:t xml:space="preserve">2. </w:t>
      </w:r>
      <w:r w:rsidDel="00000000" w:rsidR="00000000" w:rsidRPr="00000000">
        <w:rPr>
          <w:rFonts w:ascii="Calibri" w:cs="Calibri" w:eastAsia="Calibri" w:hAnsi="Calibri"/>
          <w:i w:val="1"/>
          <w:iCs w:val="1"/>
          <w:rtl w:val="0"/>
        </w:rPr>
        <w:t xml:space="preserve">Caveat (static &amp; exogenous):</w:t>
      </w:r>
      <w:r w:rsidDel="00000000" w:rsidR="00000000" w:rsidRPr="00000000">
        <w:rPr>
          <w:rFonts w:ascii="Calibri" w:cs="Calibri" w:eastAsia="Calibri" w:hAnsi="Calibri"/>
          <w:rtl w:val="0"/>
        </w:rPr>
        <w:t xml:space="preserve"> the curves are read from ENSPRESO potentials, and published papers, not directly from a forest model. Scenarios differ only in availability and cost, with no forest growth dynamics, age structure, or disturbances, they are adaptation of existing papers (Blattert and Mönkkönen).</w:t>
      </w:r>
    </w:p>
    <w:p w:rsidR="00000000" w:rsidDel="00000000" w:rsidP="00000000" w:rsidRDefault="00000000" w:rsidRPr="00000000" w14:paraId="0000002E">
      <w:pPr>
        <w:rPr>
          <w:rFonts w:ascii="Calibri" w:cs="Calibri" w:eastAsia="Calibri" w:hAnsi="Calibri"/>
        </w:rPr>
      </w:pPr>
      <w:r w:rsidDel="00000000" w:rsidR="00000000" w:rsidRPr="00000000">
        <w:rPr>
          <w:rFonts w:ascii="Calibri" w:cs="Calibri" w:eastAsia="Calibri" w:hAnsi="Calibri"/>
          <w:rtl w:val="0"/>
        </w:rPr>
        <w:t xml:space="preserve">3. Other Gap : the forest carbon sink is absent. The binding climate constraint in the model (</w:t>
      </w:r>
      <w:r w:rsidDel="00000000" w:rsidR="00000000" w:rsidRPr="00000000">
        <w:rPr>
          <w:rFonts w:ascii="Calibri" w:cs="Calibri" w:eastAsia="Calibri" w:hAnsi="Calibri"/>
          <w:sz w:val="18"/>
          <w:szCs w:val="18"/>
          <w:rtl w:val="0"/>
        </w:rPr>
        <w:t xml:space="preserve">ESMC_model_AMPL.mod</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sz w:val="18"/>
          <w:szCs w:val="18"/>
          <w:rtl w:val="0"/>
        </w:rPr>
        <w:t xml:space="preserve">Minimum_GWP_reduction</w:t>
      </w:r>
      <w:r w:rsidDel="00000000" w:rsidR="00000000" w:rsidRPr="00000000">
        <w:rPr>
          <w:rFonts w:ascii="Calibri" w:cs="Calibri" w:eastAsia="Calibri" w:hAnsi="Calibri"/>
          <w:rtl w:val="0"/>
        </w:rPr>
        <w:t xml:space="preserve">) is</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f4f4f4" w:val="clear"/>
        <w:spacing w:after="120" w:before="80" w:line="276" w:lineRule="auto"/>
        <w:ind w:left="198" w:right="198" w:firstLine="0"/>
        <w:jc w:val="center"/>
        <w:rPr>
          <w:rFonts w:ascii="Calibri" w:cs="Calibri" w:eastAsia="Calibri" w:hAnsi="Calibri"/>
          <w:i w:val="0"/>
          <w:iCs w:val="0"/>
          <w:smallCaps w:val="0"/>
          <w:strike w:val="0"/>
          <w:color w:val="000000"/>
          <w:sz w:val="17"/>
          <w:szCs w:val="17"/>
          <w:u w:val="none"/>
          <w:shd w:fill="auto" w:val="clear"/>
          <w:vertAlign w:val="baseline"/>
        </w:rPr>
      </w:pPr>
      <w:r w:rsidDel="00000000" w:rsidR="00000000" w:rsidRPr="00000000">
        <w:rPr>
          <w:rFonts w:ascii="Calibri" w:cs="Calibri" w:eastAsia="Calibri" w:hAnsi="Calibri"/>
          <w:i w:val="0"/>
          <w:iCs w:val="0"/>
          <w:smallCaps w:val="0"/>
          <w:strike w:val="0"/>
          <w:color w:val="000000"/>
          <w:sz w:val="17"/>
          <w:szCs w:val="17"/>
          <w:u w:val="none"/>
          <w:shd w:fill="auto" w:val="clear"/>
          <w:vertAlign w:val="baseline"/>
          <w:rtl w:val="0"/>
        </w:rPr>
        <w:t xml:space="preserve">Σ[r ∈ RESOURCES] CO₂_net[r] ≤ gwp_limit,</w:t>
      </w:r>
    </w:p>
    <w:p w:rsidR="00000000" w:rsidDel="00000000" w:rsidP="00000000" w:rsidRDefault="00000000" w:rsidRPr="00000000" w14:paraId="00000030">
      <w:pPr>
        <w:rPr>
          <w:rFonts w:ascii="Calibri" w:cs="Calibri" w:eastAsia="Calibri" w:hAnsi="Calibri"/>
        </w:rPr>
      </w:pPr>
      <w:r w:rsidDel="00000000" w:rsidR="00000000" w:rsidRPr="00000000">
        <w:rPr>
          <w:rFonts w:ascii="Calibri" w:cs="Calibri" w:eastAsia="Calibri" w:hAnsi="Calibri"/>
          <w:rtl w:val="0"/>
        </w:rPr>
        <w:t xml:space="preserve">i.e. </w:t>
      </w:r>
      <w:r w:rsidDel="00000000" w:rsidR="00000000" w:rsidRPr="00000000">
        <w:rPr>
          <w:rFonts w:ascii="Calibri" w:cs="Calibri" w:eastAsia="Calibri" w:hAnsi="Calibri"/>
          <w:rtl w:val="0"/>
        </w:rPr>
        <w:t xml:space="preserve">energy-system combustion emissions only. The energy model take into account the different embedded emission of each wood categories (downstream process emission) but biomass combustion is modelled as carbon-neutral by assumption, and there is no term for the forest sink. Consequently the current model sees the climate difference between intensive (S1) and conservation (S3) harvest </w:t>
      </w:r>
      <w:r w:rsidDel="00000000" w:rsidR="00000000" w:rsidRPr="00000000">
        <w:rPr>
          <w:rFonts w:ascii="Calibri" w:cs="Calibri" w:eastAsia="Calibri" w:hAnsi="Calibri"/>
          <w:i w:val="1"/>
          <w:iCs w:val="1"/>
          <w:rtl w:val="0"/>
        </w:rPr>
        <w:t xml:space="preserve">only</w:t>
      </w:r>
      <w:r w:rsidDel="00000000" w:rsidR="00000000" w:rsidRPr="00000000">
        <w:rPr>
          <w:rFonts w:ascii="Calibri" w:cs="Calibri" w:eastAsia="Calibri" w:hAnsi="Calibri"/>
          <w:rtl w:val="0"/>
        </w:rPr>
        <w:t xml:space="preserve"> through supply-chain GHG — it cannot represent the dominant climate effect of harvest intensity, namely that lower harvest raises standing stock and the sink, while intensive harvest depletes it. Finnish and EU literature treat this asymmetry as first-order (e.g. Blattert's per-scenario sinks: NFS ≈ 80, BES ≈ 28 MtCO₂ yr⁻¹; BDS largest). I would suggest that closing this gap is the core scientific motivation for the next phase.</w:t>
      </w:r>
    </w:p>
    <w:p w:rsidR="00000000" w:rsidDel="00000000" w:rsidP="00000000" w:rsidRDefault="00000000" w:rsidRPr="00000000" w14:paraId="00000031">
      <w:pPr>
        <w:pBdr>
          <w:bottom w:color="c8d2cb" w:space="1" w:sz="6" w:val="single"/>
        </w:pBdr>
        <w:spacing w:after="120" w:before="40" w:lineRule="auto"/>
        <w:rPr>
          <w:rFonts w:ascii="Calibri" w:cs="Calibri" w:eastAsia="Calibri" w:hAnsi="Calibri"/>
        </w:rPr>
      </w:pPr>
      <w:r w:rsidDel="00000000" w:rsidR="00000000" w:rsidRPr="00000000">
        <w:rPr>
          <w:rtl w:val="0"/>
        </w:rPr>
      </w:r>
    </w:p>
    <w:p w:rsidR="00000000" w:rsidDel="00000000" w:rsidP="00000000" w:rsidRDefault="00000000" w:rsidRPr="00000000" w14:paraId="00000032">
      <w:pPr>
        <w:pStyle w:val="Heading1"/>
        <w:rPr>
          <w:b w:val="0"/>
          <w:bCs w:val="0"/>
        </w:rPr>
      </w:pPr>
      <w:r w:rsidDel="00000000" w:rsidR="00000000" w:rsidRPr="00000000">
        <w:rPr>
          <w:b w:val="0"/>
          <w:bCs w:val="0"/>
          <w:rtl w:val="0"/>
        </w:rPr>
        <w:t xml:space="preserve">3. Research questions</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RQ1 — Management.</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How do contrasting forest-management regimes reshape the </w:t>
      </w:r>
      <w:r w:rsidDel="00000000" w:rsidR="00000000" w:rsidRPr="00000000">
        <w:rPr>
          <w:rFonts w:ascii="Calibri" w:cs="Calibri" w:eastAsia="Calibri" w:hAnsi="Calibri"/>
          <w:i w:val="1"/>
          <w:iCs w:val="1"/>
          <w:smallCaps w:val="0"/>
          <w:strike w:val="0"/>
          <w:color w:val="000000"/>
          <w:sz w:val="20"/>
          <w:szCs w:val="20"/>
          <w:u w:val="none"/>
          <w:shd w:fill="auto" w:val="clear"/>
          <w:vertAlign w:val="baseline"/>
          <w:rtl w:val="0"/>
        </w:rPr>
        <w:t xml:space="preserve">dynamic</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Finnish wood supply curve (quantity, quality, marginal cost, 2025–2060), when derived from a forest model (G4M) rather than a static potential database?</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RQ2 — Sink coupling.</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When the </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forest carbon balance</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(sink/source and HWP) is added to the national GHG budget, how does the optimal energy mix and the cost of deep decarbonisation change across management scenarios — and does the ranking of S1/S2/S3 on climate grounds change?</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RQ3 — Shocks.</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How does a compound physical disturbance (windstorm → bark-beetle, with wildfire sensitivity) propagate into the energy system, through a short calamity-wood pulse, a temporary price depression, a multi-year supply deficit, </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and</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a sink loss, and does it create stranded biomass-conversion assets or delay the transition?</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RQ4 — Policy framing.</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If the "neutral" baseline is replaced by a </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sink-maximising / LULUCF net-zero</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scenario, what does economy-wide net-zero (energy + land) imply for the energy system, versus energy-only net-zero?</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54"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RQ5 — Scaling. </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Can the same supply-curve representation be scaled to Europe and to competing end-uses (construction/HWP) with BeWhere, to study cross-sectoral biomass allocation?</w:t>
      </w:r>
    </w:p>
    <w:p w:rsidR="00000000" w:rsidDel="00000000" w:rsidP="00000000" w:rsidRDefault="00000000" w:rsidRPr="00000000" w14:paraId="00000038">
      <w:pPr>
        <w:pBdr>
          <w:bottom w:color="c8d2cb" w:space="1" w:sz="6" w:val="single"/>
        </w:pBdr>
        <w:spacing w:after="120" w:before="40" w:lineRule="auto"/>
        <w:rPr>
          <w:rFonts w:ascii="Calibri" w:cs="Calibri" w:eastAsia="Calibri" w:hAnsi="Calibri"/>
        </w:rPr>
      </w:pPr>
      <w:r w:rsidDel="00000000" w:rsidR="00000000" w:rsidRPr="00000000">
        <w:rPr>
          <w:rtl w:val="0"/>
        </w:rPr>
      </w:r>
    </w:p>
    <w:p w:rsidR="00000000" w:rsidDel="00000000" w:rsidP="00000000" w:rsidRDefault="00000000" w:rsidRPr="00000000" w14:paraId="00000039">
      <w:pPr>
        <w:pStyle w:val="Heading1"/>
        <w:rPr>
          <w:b w:val="0"/>
          <w:bCs w:val="0"/>
        </w:rPr>
      </w:pPr>
      <w:r w:rsidDel="00000000" w:rsidR="00000000" w:rsidRPr="00000000">
        <w:rPr>
          <w:b w:val="0"/>
          <w:bCs w:val="0"/>
          <w:rtl w:val="0"/>
        </w:rPr>
        <w:t xml:space="preserve">4. State of knowledge / existing literature</w:t>
      </w:r>
    </w:p>
    <w:p w:rsidR="00000000" w:rsidDel="00000000" w:rsidP="00000000" w:rsidRDefault="00000000" w:rsidRPr="00000000" w14:paraId="0000003A">
      <w:pPr>
        <w:rPr>
          <w:rFonts w:ascii="Calibri" w:cs="Calibri" w:eastAsia="Calibri" w:hAnsi="Calibri"/>
        </w:rPr>
      </w:pPr>
      <w:r w:rsidDel="00000000" w:rsidR="00000000" w:rsidRPr="00000000">
        <w:rPr>
          <w:rFonts w:ascii="Calibri" w:cs="Calibri" w:eastAsia="Calibri" w:hAnsi="Calibri"/>
          <w:rtl w:val="0"/>
        </w:rPr>
        <w:t xml:space="preserve">Supply-curve representation of biomass. Colla et al. (2022), origin- and quality-differentiated wood supply steps in a whole-energy-system model; basis of the present approach.</w:t>
      </w:r>
    </w:p>
    <w:p w:rsidR="00000000" w:rsidDel="00000000" w:rsidP="00000000" w:rsidRDefault="00000000" w:rsidRPr="00000000" w14:paraId="0000003B">
      <w:pPr>
        <w:rPr>
          <w:rFonts w:ascii="Calibri" w:cs="Calibri" w:eastAsia="Calibri" w:hAnsi="Calibri"/>
        </w:rPr>
      </w:pPr>
      <w:r w:rsidDel="00000000" w:rsidR="00000000" w:rsidRPr="00000000">
        <w:rPr>
          <w:rFonts w:ascii="Calibri" w:cs="Calibri" w:eastAsia="Calibri" w:hAnsi="Calibri"/>
          <w:rtl w:val="0"/>
        </w:rPr>
        <w:t xml:space="preserve">Finnish forest policy and ecological ceilings. Blattert et al. (2022, </w:t>
      </w:r>
      <w:r w:rsidDel="00000000" w:rsidR="00000000" w:rsidRPr="00000000">
        <w:rPr>
          <w:rFonts w:ascii="Calibri" w:cs="Calibri" w:eastAsia="Calibri" w:hAnsi="Calibri"/>
          <w:i w:val="1"/>
          <w:iCs w:val="1"/>
          <w:rtl w:val="0"/>
        </w:rPr>
        <w:t xml:space="preserve">Forest Policy and Economics</w:t>
      </w:r>
      <w:r w:rsidDel="00000000" w:rsidR="00000000" w:rsidRPr="00000000">
        <w:rPr>
          <w:rFonts w:ascii="Calibri" w:cs="Calibri" w:eastAsia="Calibri" w:hAnsi="Calibri"/>
          <w:rtl w:val="0"/>
        </w:rPr>
        <w:t xml:space="preserve">) translate three national strategies (BES/NFS/BDS) into quantitative management scenarios with explicit roundwood, bioenergy, deadwood, set-aside and carbon-sink targets. Mönkkönen et al. (2024) define the ecologically safe harvest ceiling (~58–60% of maximum sustainable for Southern Finland). These anchor the S1/S2/S3 narratives and provide independent per-scenario sink estimates.</w:t>
      </w:r>
    </w:p>
    <w:p w:rsidR="00000000" w:rsidDel="00000000" w:rsidP="00000000" w:rsidRDefault="00000000" w:rsidRPr="00000000" w14:paraId="0000003C">
      <w:pPr>
        <w:rPr>
          <w:rFonts w:ascii="Calibri" w:cs="Calibri" w:eastAsia="Calibri" w:hAnsi="Calibri"/>
        </w:rPr>
      </w:pPr>
      <w:r w:rsidDel="00000000" w:rsidR="00000000" w:rsidRPr="00000000">
        <w:rPr>
          <w:rFonts w:ascii="Calibri" w:cs="Calibri" w:eastAsia="Calibri" w:hAnsi="Calibri"/>
          <w:rtl w:val="0"/>
        </w:rPr>
        <w:t xml:space="preserve">Forest carbon sink, HWP and substitution. A large literature shows that the sink reduction from increased harvest often exceeds, in the short-to- medium term, the fossil substitution benefit of using the wood, an asymmetry that energy-only model cannot currently represent. Motivates RQ2/RQ4.</w:t>
      </w:r>
    </w:p>
    <w:p w:rsidR="00000000" w:rsidDel="00000000" w:rsidP="00000000" w:rsidRDefault="00000000" w:rsidRPr="00000000" w14:paraId="0000003D">
      <w:pPr>
        <w:rPr>
          <w:rFonts w:ascii="Calibri" w:cs="Calibri" w:eastAsia="Calibri" w:hAnsi="Calibri"/>
        </w:rPr>
      </w:pPr>
      <w:r w:rsidDel="00000000" w:rsidR="00000000" w:rsidRPr="00000000">
        <w:rPr>
          <w:rFonts w:ascii="Calibri" w:cs="Calibri" w:eastAsia="Calibri" w:hAnsi="Calibri"/>
          <w:rtl w:val="0"/>
        </w:rPr>
        <w:t xml:space="preserve">Physical disturbances and timber markets.  Disturbances now drive ~16% of European harvest (Patacca et al. 2023), depress prices 20–70%, and raise salvage costs 10–64% (Kärhä et al. 2018, Finland); the Czech bark-beetle calamity (Hlásny et al. 2021) is a reference compound-shock case. Finland's direct impacts are so far limited but its vulnerability is rising (Venäläinen et al. 2020).</w:t>
      </w:r>
    </w:p>
    <w:p w:rsidR="00000000" w:rsidDel="00000000" w:rsidP="00000000" w:rsidRDefault="00000000" w:rsidRPr="00000000" w14:paraId="0000003E">
      <w:pPr>
        <w:rPr>
          <w:rFonts w:ascii="Calibri" w:cs="Calibri" w:eastAsia="Calibri" w:hAnsi="Calibri"/>
        </w:rPr>
      </w:pPr>
      <w:r w:rsidDel="00000000" w:rsidR="00000000" w:rsidRPr="00000000">
        <w:rPr>
          <w:rFonts w:ascii="Calibri" w:cs="Calibri" w:eastAsia="Calibri" w:hAnsi="Calibri"/>
          <w:rtl w:val="0"/>
        </w:rPr>
        <w:t xml:space="preserve">IIASA forest and bioenergy models </w:t>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G4M (Global Forest Model)</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 IIASA's geographically explicit forest model (Kindermann et al. 2008; Gusti 2010; Lauri, Forsell, di Fulvio et al.). It decides afforestation/deforestation and </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optimises management</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(rotation, thinning, species, harvest intensity) from wood prices and costs, and reports </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harvestable wood by assortment</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(sawlogs, pulpwood, residues, fuelwood) </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and the full carbon account</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(living biomass, deadwood, soil, HWP) and </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net LULUCF CO₂ flux</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It is the forest module in ForestNavigator and is routinely run for Finland within pan-European setups. </w:t>
      </w:r>
      <w:r w:rsidDel="00000000" w:rsidR="00000000" w:rsidRPr="00000000">
        <w:rPr>
          <w:rFonts w:ascii="Calibri" w:cs="Calibri" w:eastAsia="Calibri" w:hAnsi="Calibri"/>
          <w:i w:val="1"/>
          <w:iCs w:val="1"/>
          <w:smallCaps w:val="0"/>
          <w:strike w:val="0"/>
          <w:color w:val="000000"/>
          <w:sz w:val="20"/>
          <w:szCs w:val="20"/>
          <w:u w:val="none"/>
          <w:shd w:fill="auto" w:val="clear"/>
          <w:vertAlign w:val="baseline"/>
          <w:rtl w:val="0"/>
        </w:rPr>
        <w:t xml:space="preserve">(Exact Finnish resolution and I/O to be confirmed with the IIASA G4M team.)</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Disturbance modules</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 ForestNavigator D3.4 (Krasovskiy et al. 2025) assess disturbance impacts on forest mitigation potential (FLAM for wildfire; bark-beetle and wind modules). We propose to use G4M's disturbance-aware outputs for Finland rather than re-implementing a stand-level coupling.</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54"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BeWhere</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 IIASA's spatially explicit techno-economic optimisation (MILP) for biomass supply chains and plant siting, extended to forest-industry/construction uses (Leduc, Kraxner, Schipfer et al.). Candidate tool for the European, cross-sectoral extension (RQ5).</w:t>
      </w:r>
    </w:p>
    <w:p w:rsidR="00000000" w:rsidDel="00000000" w:rsidP="00000000" w:rsidRDefault="00000000" w:rsidRPr="00000000" w14:paraId="00000042">
      <w:pPr>
        <w:pBdr>
          <w:bottom w:color="c8d2cb" w:space="1" w:sz="6" w:val="single"/>
        </w:pBdr>
        <w:spacing w:after="120" w:before="40" w:lineRule="auto"/>
        <w:rPr>
          <w:rFonts w:ascii="Calibri" w:cs="Calibri" w:eastAsia="Calibri" w:hAnsi="Calibri"/>
        </w:rPr>
      </w:pPr>
      <w:r w:rsidDel="00000000" w:rsidR="00000000" w:rsidRPr="00000000">
        <w:rPr>
          <w:rtl w:val="0"/>
        </w:rPr>
      </w:r>
    </w:p>
    <w:p w:rsidR="00000000" w:rsidDel="00000000" w:rsidP="00000000" w:rsidRDefault="00000000" w:rsidRPr="00000000" w14:paraId="00000043">
      <w:pPr>
        <w:pStyle w:val="Heading1"/>
        <w:rPr>
          <w:b w:val="0"/>
          <w:bCs w:val="0"/>
        </w:rPr>
      </w:pPr>
      <w:r w:rsidDel="00000000" w:rsidR="00000000" w:rsidRPr="00000000">
        <w:rPr>
          <w:b w:val="0"/>
          <w:bCs w:val="0"/>
          <w:rtl w:val="0"/>
        </w:rPr>
        <w:t xml:space="preserve">5. Methodology — possibilities</w:t>
      </w:r>
    </w:p>
    <w:p w:rsidR="00000000" w:rsidDel="00000000" w:rsidP="00000000" w:rsidRDefault="00000000" w:rsidRPr="00000000" w14:paraId="00000044">
      <w:pPr>
        <w:pStyle w:val="Heading3"/>
        <w:rPr>
          <w:b w:val="0"/>
          <w:bCs w:val="0"/>
        </w:rPr>
      </w:pPr>
      <w:r w:rsidDel="00000000" w:rsidR="00000000" w:rsidRPr="00000000">
        <w:rPr>
          <w:b w:val="0"/>
          <w:bCs w:val="0"/>
          <w:rtl w:val="0"/>
        </w:rPr>
        <w:t xml:space="preserve">5.A  Management-scenario supply curves from G4M (replaces the FORTRAN coupling)</w:t>
      </w:r>
    </w:p>
    <w:p w:rsidR="00000000" w:rsidDel="00000000" w:rsidP="00000000" w:rsidRDefault="00000000" w:rsidRPr="00000000" w14:paraId="00000045">
      <w:pPr>
        <w:rPr>
          <w:rFonts w:ascii="Calibri" w:cs="Calibri" w:eastAsia="Calibri" w:hAnsi="Calibri"/>
        </w:rPr>
      </w:pPr>
      <w:r w:rsidDel="00000000" w:rsidR="00000000" w:rsidRPr="00000000">
        <w:rPr>
          <w:rFonts w:ascii="Calibri" w:cs="Calibri" w:eastAsia="Calibri" w:hAnsi="Calibri"/>
          <w:rtl w:val="0"/>
        </w:rPr>
        <w:t xml:space="preserve">What G4M could replace. In the working paper the per-category wood volumes were built three different ways, and only one is database-grounded: S2/NFS is ENSPRESO-medium interpolated to 2035 at commodity-code level (~102 TWh); S1/BES is a </w:t>
      </w:r>
      <w:r w:rsidDel="00000000" w:rsidR="00000000" w:rsidRPr="00000000">
        <w:rPr>
          <w:rFonts w:ascii="Calibri" w:cs="Calibri" w:eastAsia="Calibri" w:hAnsi="Calibri"/>
          <w:i w:val="1"/>
          <w:iCs w:val="1"/>
          <w:rtl w:val="0"/>
        </w:rPr>
        <w:t xml:space="preserve">stylised</w:t>
      </w:r>
      <w:r w:rsidDel="00000000" w:rsidR="00000000" w:rsidRPr="00000000">
        <w:rPr>
          <w:rFonts w:ascii="Calibri" w:cs="Calibri" w:eastAsia="Calibri" w:hAnsi="Calibri"/>
          <w:rtl w:val="0"/>
        </w:rPr>
        <w:t xml:space="preserve"> +20% uniform scale-up of S2 (~122 TWh), since ENSPRESO-high is physically implausible for Finland and Blattert finds BES ≈ NFS in total harvest; S3/BDS is the ENSPRESO-low value revised downward by ~46% (74 → 40 TWh) through an audit against Blattert, Mönkkönen and LUKE. The cross-scenario volume differences , which drive the paper's headline result, rest largely on assumptions rather than measurement. Probably, the most valuable contribution of G4M is to put physical, assortment-level ground under exactly these numbers, and in particular to derive the energy-available volume as the residual </w:t>
      </w:r>
      <w:r w:rsidDel="00000000" w:rsidR="00000000" w:rsidRPr="00000000">
        <w:rPr>
          <w:rFonts w:ascii="Calibri" w:cs="Calibri" w:eastAsia="Calibri" w:hAnsi="Calibri"/>
          <w:i w:val="1"/>
          <w:iCs w:val="1"/>
          <w:rtl w:val="0"/>
        </w:rPr>
        <w:t xml:space="preserve">after</w:t>
      </w:r>
      <w:r w:rsidDel="00000000" w:rsidR="00000000" w:rsidRPr="00000000">
        <w:rPr>
          <w:rFonts w:ascii="Calibri" w:cs="Calibri" w:eastAsia="Calibri" w:hAnsi="Calibri"/>
          <w:rtl w:val="0"/>
        </w:rPr>
        <w:t xml:space="preserve"> industrial roundwood demand under each regime.</w:t>
      </w:r>
    </w:p>
    <w:p w:rsidR="00000000" w:rsidDel="00000000" w:rsidP="00000000" w:rsidRDefault="00000000" w:rsidRPr="00000000" w14:paraId="00000046">
      <w:pPr>
        <w:rPr>
          <w:rFonts w:ascii="Calibri" w:cs="Calibri" w:eastAsia="Calibri" w:hAnsi="Calibri"/>
        </w:rPr>
      </w:pPr>
      <w:r w:rsidDel="00000000" w:rsidR="00000000" w:rsidRPr="00000000">
        <w:rPr>
          <w:rFonts w:ascii="Calibri" w:cs="Calibri" w:eastAsia="Calibri" w:hAnsi="Calibri"/>
          <w:rtl w:val="0"/>
        </w:rPr>
        <w:t xml:space="preserve">How the S3 ceiling was scaled from Mönkkönen, the chain G4M would replace. Mönkkönen et al. (2024) give a </w:t>
      </w:r>
      <w:r w:rsidDel="00000000" w:rsidR="00000000" w:rsidRPr="00000000">
        <w:rPr>
          <w:rFonts w:ascii="Calibri" w:cs="Calibri" w:eastAsia="Calibri" w:hAnsi="Calibri"/>
          <w:i w:val="1"/>
          <w:iCs w:val="1"/>
          <w:rtl w:val="0"/>
        </w:rPr>
        <w:t xml:space="preserve">percentage</w:t>
      </w:r>
      <w:r w:rsidDel="00000000" w:rsidR="00000000" w:rsidRPr="00000000">
        <w:rPr>
          <w:rFonts w:ascii="Calibri" w:cs="Calibri" w:eastAsia="Calibri" w:hAnsi="Calibri"/>
          <w:rtl w:val="0"/>
        </w:rPr>
        <w:t xml:space="preserve"> ceiling for Southern Finland only: the ecologically safe harvest is ~58–60% of the maximum economically sustainable level (current harvest ≈ 96%). Turning that into the S3 wood volumes took a two-stage manual scaling. Stage 1 (% → national harvest): anchor on the 2018 roundwood harvest (78.2 Mm³), back out the maximum sustainable (78.2 / 0.96 ≈ 81 Mm³/yr), and apply the 60% ceiling (≈ 49 Mm³/yr) — extrapolating the Southern-Finland ratio to the whole country. Stage 2 (harvest → energy residues): take the logging-residue fraction of merchantable volume (~15–20% → ~8.6 Mm³ technical), then a conservation-regime collection efficiency of 30–40% (≈ 2.6–3.4 Mm³ ≈ 3.9–5.1 TWh at 1.5 MWh/m³), which sets the S3 logging-residue step </w:t>
      </w:r>
      <w:r w:rsidDel="00000000" w:rsidR="00000000" w:rsidRPr="00000000">
        <w:rPr>
          <w:rFonts w:ascii="Calibri" w:cs="Calibri" w:eastAsia="Calibri" w:hAnsi="Calibri"/>
          <w:sz w:val="18"/>
          <w:szCs w:val="18"/>
          <w:rtl w:val="0"/>
        </w:rPr>
        <w:t xml:space="preserve">WOOD_FI2</w:t>
      </w:r>
      <w:r w:rsidDel="00000000" w:rsidR="00000000" w:rsidRPr="00000000">
        <w:rPr>
          <w:rFonts w:ascii="Calibri" w:cs="Calibri" w:eastAsia="Calibri" w:hAnsi="Calibri"/>
          <w:rtl w:val="0"/>
        </w:rPr>
        <w:t xml:space="preserve"> at 6 TWh. The steep reduction comes from Stage 2, not Stage 1. This hand-built chain, percentage ceiling → national volume → residue fraction → collection efficiency, is exactly what G4M would replace with a physically modelled, assortment-level harvest under each management regime.</w:t>
      </w:r>
    </w:p>
    <w:p w:rsidR="00000000" w:rsidDel="00000000" w:rsidP="00000000" w:rsidRDefault="00000000" w:rsidRPr="00000000" w14:paraId="00000047">
      <w:pPr>
        <w:rPr>
          <w:rFonts w:ascii="Calibri" w:cs="Calibri" w:eastAsia="Calibri" w:hAnsi="Calibri"/>
        </w:rPr>
      </w:pPr>
      <w:r w:rsidDel="00000000" w:rsidR="00000000" w:rsidRPr="00000000">
        <w:rPr>
          <w:rFonts w:ascii="Calibri" w:cs="Calibri" w:eastAsia="Calibri" w:hAnsi="Calibri"/>
          <w:rtl w:val="0"/>
        </w:rPr>
        <w:t xml:space="preserve">For each management scenario and climate pathway, run G4M for Finland over 2025–2060 and extract, per year and nationnaly:</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harvestable volume by assortment (sawlogs, pulpwood, logging residues, fuelwood, stumps);</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fractions ecologically available after deadwood/residue-retention rules (scenario-specific);</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the </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net forest carbon flux</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(growing-stock change + deadwood + soil + HWP), i.e. the LULUCF term </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rFonts w:ascii="Calibri" w:cs="Calibri" w:eastAsia="Calibri" w:hAnsi="Calibri"/>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54" w:lineRule="auto"/>
        <w:ind w:left="360" w:right="0" w:hanging="360"/>
        <w:jc w:val="left"/>
        <w:rPr>
          <w:rFonts w:ascii="Calibri" w:cs="Calibri" w:eastAsia="Calibri" w:hAnsi="Calibri"/>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Convert assortments to the existing </w:t>
      </w:r>
      <w:r w:rsidDel="00000000" w:rsidR="00000000" w:rsidRPr="00000000">
        <w:rPr>
          <w:rFonts w:ascii="Calibri" w:cs="Calibri" w:eastAsia="Calibri" w:hAnsi="Calibri"/>
          <w:i w:val="0"/>
          <w:iCs w:val="0"/>
          <w:smallCaps w:val="0"/>
          <w:strike w:val="0"/>
          <w:color w:val="000000"/>
          <w:sz w:val="18"/>
          <w:szCs w:val="18"/>
          <w:u w:val="none"/>
          <w:shd w:fill="auto" w:val="clear"/>
          <w:vertAlign w:val="baseline"/>
          <w:rtl w:val="0"/>
        </w:rPr>
        <w:t xml:space="preserve">WOOD_FI1…FI4</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steps (volume→energy factors, which I have partly done), with marginal costs from Finnish statistics (LUKE) and RED II Annex VI. The result is a </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dynamic, internally consistent</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replacement for the current static ENSPRESO curves, keeping the EnergyScope implementation unchanged (no model change needed for the curves themselves).</w:t>
      </w:r>
    </w:p>
    <w:p w:rsidR="00000000" w:rsidDel="00000000" w:rsidP="00000000" w:rsidRDefault="00000000" w:rsidRPr="00000000" w14:paraId="0000004D">
      <w:pPr>
        <w:rPr>
          <w:rFonts w:ascii="Calibri" w:cs="Calibri" w:eastAsia="Calibri" w:hAnsi="Calibri"/>
        </w:rPr>
      </w:pPr>
      <w:r w:rsidDel="00000000" w:rsidR="00000000" w:rsidRPr="00000000">
        <w:rPr>
          <w:rFonts w:ascii="Calibri" w:cs="Calibri" w:eastAsia="Calibri" w:hAnsi="Calibri"/>
          <w:rtl w:val="0"/>
        </w:rPr>
        <w:t xml:space="preserve">One structural caveat for the mapping. If I am not wron G4M's forest-gate assortments (sawlogs, pulpwood, logging residues, fuelwood, stumps) do not directly include the mill by-product stream such as black liquor, bark, sawdust, which is </w:t>
      </w:r>
      <w:r w:rsidDel="00000000" w:rsidR="00000000" w:rsidRPr="00000000">
        <w:rPr>
          <w:rFonts w:ascii="Calibri" w:cs="Calibri" w:eastAsia="Calibri" w:hAnsi="Calibri"/>
          <w:sz w:val="18"/>
          <w:szCs w:val="18"/>
          <w:rtl w:val="0"/>
        </w:rPr>
        <w:t xml:space="preserve">WOOD_FI1</w:t>
      </w:r>
      <w:r w:rsidDel="00000000" w:rsidR="00000000" w:rsidRPr="00000000">
        <w:rPr>
          <w:rFonts w:ascii="Calibri" w:cs="Calibri" w:eastAsia="Calibri" w:hAnsi="Calibri"/>
          <w:rtl w:val="0"/>
        </w:rPr>
        <w:t xml:space="preserve">, the cheapest step and ~45% of domestic supply. FI1 is driven by industrial </w:t>
      </w:r>
      <w:r w:rsidDel="00000000" w:rsidR="00000000" w:rsidRPr="00000000">
        <w:rPr>
          <w:rFonts w:ascii="Calibri" w:cs="Calibri" w:eastAsia="Calibri" w:hAnsi="Calibri"/>
          <w:i w:val="1"/>
          <w:iCs w:val="1"/>
          <w:rtl w:val="0"/>
        </w:rPr>
        <w:t xml:space="preserve">processing</w:t>
      </w:r>
      <w:r w:rsidDel="00000000" w:rsidR="00000000" w:rsidRPr="00000000">
        <w:rPr>
          <w:rFonts w:ascii="Calibri" w:cs="Calibri" w:eastAsia="Calibri" w:hAnsi="Calibri"/>
          <w:rtl w:val="0"/>
        </w:rPr>
        <w:t xml:space="preserve"> throughput, not by forest-energy harvest decisions. The coupling must therefore either (i) add a processing-yield bridge from G4M's industrial-roundwood harvest to by-product volumes, or (ii) keep FI1 from national statistics (LUKE) and use G4M only for the harvest-driven steps FI2–FI4. This choice should be settled explicitly with the G4M team.</w:t>
      </w:r>
    </w:p>
    <w:p w:rsidR="00000000" w:rsidDel="00000000" w:rsidP="00000000" w:rsidRDefault="00000000" w:rsidRPr="00000000" w14:paraId="0000004E">
      <w:pPr>
        <w:rPr>
          <w:rFonts w:ascii="Calibri" w:cs="Calibri" w:eastAsia="Calibri" w:hAnsi="Calibri"/>
        </w:rPr>
      </w:pPr>
      <w:r w:rsidDel="00000000" w:rsidR="00000000" w:rsidRPr="00000000">
        <w:rPr>
          <w:rFonts w:ascii="Calibri" w:cs="Calibri" w:eastAsia="Calibri" w:hAnsi="Calibri"/>
          <w:rtl w:val="0"/>
        </w:rPr>
        <w:t xml:space="preserve">Proposed scenarios (aligned with Blattert / Mönkkönen / ForestNavigator), each under RCP4.5 (GWL2) and RCP8.5 (GWL3):</w:t>
      </w:r>
    </w:p>
    <w:tbl>
      <w:tblPr>
        <w:tblStyle w:val="Table2"/>
        <w:tblW w:w="1008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61"/>
        <w:gridCol w:w="3361"/>
        <w:gridCol w:w="3360"/>
        <w:tblGridChange w:id="0">
          <w:tblGrid>
            <w:gridCol w:w="3361"/>
            <w:gridCol w:w="3361"/>
            <w:gridCol w:w="3360"/>
          </w:tblGrid>
        </w:tblGridChange>
      </w:tblGrid>
      <w:tr>
        <w:trPr>
          <w:cantSplit w:val="0"/>
          <w:tblHeader w:val="0"/>
        </w:trPr>
        <w:tc>
          <w:tcPr>
            <w:shd w:fill="e9f0ea" w:val="clear"/>
          </w:tcPr>
          <w:p w:rsidR="00000000" w:rsidDel="00000000" w:rsidP="00000000" w:rsidRDefault="00000000" w:rsidRPr="00000000" w14:paraId="0000004F">
            <w:pPr>
              <w:spacing w:after="20" w:lineRule="auto"/>
              <w:rPr>
                <w:rFonts w:ascii="Calibri" w:cs="Calibri" w:eastAsia="Calibri" w:hAnsi="Calibri"/>
              </w:rPr>
            </w:pPr>
            <w:r w:rsidDel="00000000" w:rsidR="00000000" w:rsidRPr="00000000">
              <w:rPr>
                <w:rFonts w:ascii="Calibri" w:cs="Calibri" w:eastAsia="Calibri" w:hAnsi="Calibri"/>
                <w:rtl w:val="0"/>
              </w:rPr>
              <w:t xml:space="preserve">Label</w:t>
            </w:r>
          </w:p>
        </w:tc>
        <w:tc>
          <w:tcPr>
            <w:shd w:fill="e9f0ea" w:val="clear"/>
          </w:tcPr>
          <w:p w:rsidR="00000000" w:rsidDel="00000000" w:rsidP="00000000" w:rsidRDefault="00000000" w:rsidRPr="00000000" w14:paraId="00000050">
            <w:pPr>
              <w:spacing w:after="20" w:lineRule="auto"/>
              <w:rPr>
                <w:rFonts w:ascii="Calibri" w:cs="Calibri" w:eastAsia="Calibri" w:hAnsi="Calibri"/>
              </w:rPr>
            </w:pPr>
            <w:r w:rsidDel="00000000" w:rsidR="00000000" w:rsidRPr="00000000">
              <w:rPr>
                <w:rFonts w:ascii="Calibri" w:cs="Calibri" w:eastAsia="Calibri" w:hAnsi="Calibri"/>
                <w:rtl w:val="0"/>
              </w:rPr>
              <w:t xml:space="preserve">Management logic</w:t>
            </w:r>
          </w:p>
        </w:tc>
        <w:tc>
          <w:tcPr>
            <w:shd w:fill="e9f0ea" w:val="clear"/>
          </w:tcPr>
          <w:p w:rsidR="00000000" w:rsidDel="00000000" w:rsidP="00000000" w:rsidRDefault="00000000" w:rsidRPr="00000000" w14:paraId="00000051">
            <w:pPr>
              <w:spacing w:after="20" w:lineRule="auto"/>
              <w:rPr>
                <w:rFonts w:ascii="Calibri" w:cs="Calibri" w:eastAsia="Calibri" w:hAnsi="Calibri"/>
              </w:rPr>
            </w:pPr>
            <w:r w:rsidDel="00000000" w:rsidR="00000000" w:rsidRPr="00000000">
              <w:rPr>
                <w:rFonts w:ascii="Calibri" w:cs="Calibri" w:eastAsia="Calibri" w:hAnsi="Calibri"/>
                <w:rtl w:val="0"/>
              </w:rPr>
              <w:t xml:space="preserve">Harvest level</w:t>
            </w:r>
          </w:p>
        </w:tc>
      </w:tr>
      <w:tr>
        <w:trPr>
          <w:cantSplit w:val="0"/>
          <w:tblHeader w:val="0"/>
        </w:trPr>
        <w:tc>
          <w:tcPr/>
          <w:p w:rsidR="00000000" w:rsidDel="00000000" w:rsidP="00000000" w:rsidRDefault="00000000" w:rsidRPr="00000000" w14:paraId="00000052">
            <w:pPr>
              <w:spacing w:after="20" w:lineRule="auto"/>
              <w:rPr>
                <w:rFonts w:ascii="Calibri" w:cs="Calibri" w:eastAsia="Calibri" w:hAnsi="Calibri"/>
              </w:rPr>
            </w:pPr>
            <w:r w:rsidDel="00000000" w:rsidR="00000000" w:rsidRPr="00000000">
              <w:rPr>
                <w:rFonts w:ascii="Calibri" w:cs="Calibri" w:eastAsia="Calibri" w:hAnsi="Calibri"/>
                <w:rtl w:val="0"/>
              </w:rPr>
              <w:t xml:space="preserve">S1 Intensive</w:t>
            </w:r>
          </w:p>
        </w:tc>
        <w:tc>
          <w:tcPr/>
          <w:p w:rsidR="00000000" w:rsidDel="00000000" w:rsidP="00000000" w:rsidRDefault="00000000" w:rsidRPr="00000000" w14:paraId="00000053">
            <w:pPr>
              <w:spacing w:after="20" w:lineRule="auto"/>
              <w:rPr>
                <w:rFonts w:ascii="Calibri" w:cs="Calibri" w:eastAsia="Calibri" w:hAnsi="Calibri"/>
              </w:rPr>
            </w:pPr>
            <w:r w:rsidDel="00000000" w:rsidR="00000000" w:rsidRPr="00000000">
              <w:rPr>
                <w:rFonts w:ascii="Calibri" w:cs="Calibri" w:eastAsia="Calibri" w:hAnsi="Calibri"/>
                <w:rtl w:val="0"/>
              </w:rPr>
              <w:t xml:space="preserve">maximise roundwood + energy residues; rotation forestry</w:t>
            </w:r>
          </w:p>
        </w:tc>
        <w:tc>
          <w:tcPr/>
          <w:p w:rsidR="00000000" w:rsidDel="00000000" w:rsidP="00000000" w:rsidRDefault="00000000" w:rsidRPr="00000000" w14:paraId="00000054">
            <w:pPr>
              <w:spacing w:after="20" w:lineRule="auto"/>
              <w:rPr>
                <w:rFonts w:ascii="Calibri" w:cs="Calibri" w:eastAsia="Calibri" w:hAnsi="Calibri"/>
              </w:rPr>
            </w:pPr>
            <w:r w:rsidDel="00000000" w:rsidR="00000000" w:rsidRPr="00000000">
              <w:rPr>
                <w:rFonts w:ascii="Calibri" w:cs="Calibri" w:eastAsia="Calibri" w:hAnsi="Calibri"/>
                <w:rtl w:val="0"/>
              </w:rPr>
              <w:t xml:space="preserve">~96% of sustainable ceiling</w:t>
            </w:r>
          </w:p>
        </w:tc>
      </w:tr>
      <w:tr>
        <w:trPr>
          <w:cantSplit w:val="0"/>
          <w:tblHeader w:val="0"/>
        </w:trPr>
        <w:tc>
          <w:tcPr/>
          <w:p w:rsidR="00000000" w:rsidDel="00000000" w:rsidP="00000000" w:rsidRDefault="00000000" w:rsidRPr="00000000" w14:paraId="00000055">
            <w:pPr>
              <w:spacing w:after="20" w:lineRule="auto"/>
              <w:rPr>
                <w:rFonts w:ascii="Calibri" w:cs="Calibri" w:eastAsia="Calibri" w:hAnsi="Calibri"/>
              </w:rPr>
            </w:pPr>
            <w:r w:rsidDel="00000000" w:rsidR="00000000" w:rsidRPr="00000000">
              <w:rPr>
                <w:rFonts w:ascii="Calibri" w:cs="Calibri" w:eastAsia="Calibri" w:hAnsi="Calibri"/>
                <w:rtl w:val="0"/>
              </w:rPr>
              <w:t xml:space="preserve">S2 Balanced</w:t>
            </w:r>
          </w:p>
        </w:tc>
        <w:tc>
          <w:tcPr/>
          <w:p w:rsidR="00000000" w:rsidDel="00000000" w:rsidP="00000000" w:rsidRDefault="00000000" w:rsidRPr="00000000" w14:paraId="00000056">
            <w:pPr>
              <w:spacing w:after="20" w:lineRule="auto"/>
              <w:rPr>
                <w:rFonts w:ascii="Calibri" w:cs="Calibri" w:eastAsia="Calibri" w:hAnsi="Calibri"/>
              </w:rPr>
            </w:pPr>
            <w:r w:rsidDel="00000000" w:rsidR="00000000" w:rsidRPr="00000000">
              <w:rPr>
                <w:rFonts w:ascii="Calibri" w:cs="Calibri" w:eastAsia="Calibri" w:hAnsi="Calibri"/>
                <w:rtl w:val="0"/>
              </w:rPr>
              <w:t xml:space="preserve">NFS targets; moderate biodiversity measures; mixed rotation/CCF</w:t>
            </w:r>
          </w:p>
        </w:tc>
        <w:tc>
          <w:tcPr/>
          <w:p w:rsidR="00000000" w:rsidDel="00000000" w:rsidP="00000000" w:rsidRDefault="00000000" w:rsidRPr="00000000" w14:paraId="00000057">
            <w:pPr>
              <w:spacing w:after="20" w:lineRule="auto"/>
              <w:rPr>
                <w:rFonts w:ascii="Calibri" w:cs="Calibri" w:eastAsia="Calibri" w:hAnsi="Calibri"/>
              </w:rPr>
            </w:pPr>
            <w:r w:rsidDel="00000000" w:rsidR="00000000" w:rsidRPr="00000000">
              <w:rPr>
                <w:rFonts w:ascii="Calibri" w:cs="Calibri" w:eastAsia="Calibri" w:hAnsi="Calibri"/>
                <w:rtl w:val="0"/>
              </w:rPr>
              <w:t xml:space="preserve">~80%</w:t>
            </w:r>
          </w:p>
        </w:tc>
      </w:tr>
      <w:tr>
        <w:trPr>
          <w:cantSplit w:val="0"/>
          <w:tblHeader w:val="0"/>
        </w:trPr>
        <w:tc>
          <w:tcPr/>
          <w:p w:rsidR="00000000" w:rsidDel="00000000" w:rsidP="00000000" w:rsidRDefault="00000000" w:rsidRPr="00000000" w14:paraId="00000058">
            <w:pPr>
              <w:spacing w:after="20" w:lineRule="auto"/>
              <w:rPr>
                <w:rFonts w:ascii="Calibri" w:cs="Calibri" w:eastAsia="Calibri" w:hAnsi="Calibri"/>
              </w:rPr>
            </w:pPr>
            <w:r w:rsidDel="00000000" w:rsidR="00000000" w:rsidRPr="00000000">
              <w:rPr>
                <w:rFonts w:ascii="Calibri" w:cs="Calibri" w:eastAsia="Calibri" w:hAnsi="Calibri"/>
                <w:rtl w:val="0"/>
              </w:rPr>
              <w:t xml:space="preserve">S3 Conservation</w:t>
            </w:r>
          </w:p>
        </w:tc>
        <w:tc>
          <w:tcPr/>
          <w:p w:rsidR="00000000" w:rsidDel="00000000" w:rsidP="00000000" w:rsidRDefault="00000000" w:rsidRPr="00000000" w14:paraId="00000059">
            <w:pPr>
              <w:spacing w:after="20" w:lineRule="auto"/>
              <w:rPr>
                <w:rFonts w:ascii="Calibri" w:cs="Calibri" w:eastAsia="Calibri" w:hAnsi="Calibri"/>
              </w:rPr>
            </w:pPr>
            <w:r w:rsidDel="00000000" w:rsidR="00000000" w:rsidRPr="00000000">
              <w:rPr>
                <w:rFonts w:ascii="Calibri" w:cs="Calibri" w:eastAsia="Calibri" w:hAnsi="Calibri"/>
                <w:rtl w:val="0"/>
              </w:rPr>
              <w:t xml:space="preserve">biodiversity-first; extended rotations, CCF, set-aside, deadwood retention</w:t>
            </w:r>
          </w:p>
        </w:tc>
        <w:tc>
          <w:tcPr/>
          <w:p w:rsidR="00000000" w:rsidDel="00000000" w:rsidP="00000000" w:rsidRDefault="00000000" w:rsidRPr="00000000" w14:paraId="0000005A">
            <w:pPr>
              <w:spacing w:after="20" w:lineRule="auto"/>
              <w:rPr>
                <w:rFonts w:ascii="Calibri" w:cs="Calibri" w:eastAsia="Calibri" w:hAnsi="Calibri"/>
              </w:rPr>
            </w:pPr>
            <w:r w:rsidDel="00000000" w:rsidR="00000000" w:rsidRPr="00000000">
              <w:rPr>
                <w:rFonts w:ascii="Calibri" w:cs="Calibri" w:eastAsia="Calibri" w:hAnsi="Calibri"/>
                <w:rtl w:val="0"/>
              </w:rPr>
              <w:t xml:space="preserve">~58–60%</w:t>
            </w:r>
          </w:p>
        </w:tc>
      </w:tr>
      <w:tr>
        <w:trPr>
          <w:cantSplit w:val="0"/>
          <w:tblHeader w:val="0"/>
        </w:trPr>
        <w:tc>
          <w:tcPr/>
          <w:p w:rsidR="00000000" w:rsidDel="00000000" w:rsidP="00000000" w:rsidRDefault="00000000" w:rsidRPr="00000000" w14:paraId="0000005B">
            <w:pPr>
              <w:spacing w:after="20" w:lineRule="auto"/>
              <w:rPr>
                <w:rFonts w:ascii="Calibri" w:cs="Calibri" w:eastAsia="Calibri" w:hAnsi="Calibri"/>
              </w:rPr>
            </w:pPr>
            <w:r w:rsidDel="00000000" w:rsidR="00000000" w:rsidRPr="00000000">
              <w:rPr>
                <w:rFonts w:ascii="Calibri" w:cs="Calibri" w:eastAsia="Calibri" w:hAnsi="Calibri"/>
                <w:rtl w:val="0"/>
              </w:rPr>
              <w:t xml:space="preserve">S0 Sink-max / net-zero </w:t>
            </w:r>
            <w:r w:rsidDel="00000000" w:rsidR="00000000" w:rsidRPr="00000000">
              <w:rPr>
                <w:rFonts w:ascii="Calibri" w:cs="Calibri" w:eastAsia="Calibri" w:hAnsi="Calibri"/>
                <w:i w:val="1"/>
                <w:iCs w:val="1"/>
                <w:rtl w:val="0"/>
              </w:rPr>
              <w:t xml:space="preserve">(new — see 5.C)</w:t>
            </w:r>
            <w:r w:rsidDel="00000000" w:rsidR="00000000" w:rsidRPr="00000000">
              <w:rPr>
                <w:rtl w:val="0"/>
              </w:rPr>
            </w:r>
          </w:p>
        </w:tc>
        <w:tc>
          <w:tcPr/>
          <w:p w:rsidR="00000000" w:rsidDel="00000000" w:rsidP="00000000" w:rsidRDefault="00000000" w:rsidRPr="00000000" w14:paraId="0000005C">
            <w:pPr>
              <w:spacing w:after="20" w:lineRule="auto"/>
              <w:rPr>
                <w:rFonts w:ascii="Calibri" w:cs="Calibri" w:eastAsia="Calibri" w:hAnsi="Calibri"/>
              </w:rPr>
            </w:pPr>
            <w:r w:rsidDel="00000000" w:rsidR="00000000" w:rsidRPr="00000000">
              <w:rPr>
                <w:rFonts w:ascii="Calibri" w:cs="Calibri" w:eastAsia="Calibri" w:hAnsi="Calibri"/>
                <w:rtl w:val="0"/>
              </w:rPr>
              <w:t xml:space="preserve">minimise harvest / maximise sink subject to meeting wood floors</w:t>
            </w:r>
          </w:p>
        </w:tc>
        <w:tc>
          <w:tcPr/>
          <w:p w:rsidR="00000000" w:rsidDel="00000000" w:rsidP="00000000" w:rsidRDefault="00000000" w:rsidRPr="00000000" w14:paraId="0000005D">
            <w:pPr>
              <w:spacing w:after="20" w:lineRule="auto"/>
              <w:rPr>
                <w:rFonts w:ascii="Calibri" w:cs="Calibri" w:eastAsia="Calibri" w:hAnsi="Calibri"/>
              </w:rPr>
            </w:pPr>
            <w:r w:rsidDel="00000000" w:rsidR="00000000" w:rsidRPr="00000000">
              <w:rPr>
                <w:rFonts w:ascii="Calibri" w:cs="Calibri" w:eastAsia="Calibri" w:hAnsi="Calibri"/>
                <w:rtl w:val="0"/>
              </w:rPr>
              <w:t xml:space="preserve">lowest</w:t>
            </w:r>
          </w:p>
        </w:tc>
      </w:tr>
    </w:tbl>
    <w:p w:rsidR="00000000" w:rsidDel="00000000" w:rsidP="00000000" w:rsidRDefault="00000000" w:rsidRPr="00000000" w14:paraId="0000005E">
      <w:pPr>
        <w:spacing w:after="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F">
      <w:pPr>
        <w:pStyle w:val="Heading3"/>
        <w:rPr>
          <w:b w:val="0"/>
          <w:bCs w:val="0"/>
        </w:rPr>
      </w:pPr>
      <w:r w:rsidDel="00000000" w:rsidR="00000000" w:rsidRPr="00000000">
        <w:rPr>
          <w:b w:val="0"/>
          <w:bCs w:val="0"/>
          <w:rtl w:val="0"/>
        </w:rPr>
        <w:t xml:space="preserve">5.B  Disturbance-shock supply curves from G4M + disturbance modules</w:t>
      </w:r>
    </w:p>
    <w:p w:rsidR="00000000" w:rsidDel="00000000" w:rsidP="00000000" w:rsidRDefault="00000000" w:rsidRPr="00000000" w14:paraId="00000060">
      <w:pPr>
        <w:rPr>
          <w:rFonts w:ascii="Calibri" w:cs="Calibri" w:eastAsia="Calibri" w:hAnsi="Calibri"/>
        </w:rPr>
      </w:pPr>
      <w:r w:rsidDel="00000000" w:rsidR="00000000" w:rsidRPr="00000000">
        <w:rPr>
          <w:rFonts w:ascii="Calibri" w:cs="Calibri" w:eastAsia="Calibri" w:hAnsi="Calibri"/>
          <w:rtl w:val="0"/>
        </w:rPr>
        <w:t xml:space="preserve">Use G4M's disturbance-aware runs (or G4M + FLAM/bark-beetle/wind outputs from ForestNavigator) to build time-profiled supply curves around a compound event, rather than a single lower ceiling. A disturbance scenario produces three superimposed effects on the curve:</w:t>
      </w:r>
    </w:p>
    <w:p w:rsidR="00000000" w:rsidDel="00000000" w:rsidP="00000000" w:rsidRDefault="00000000" w:rsidRPr="00000000" w14:paraId="00000061">
      <w:pPr>
        <w:rPr>
          <w:rFonts w:ascii="Calibri" w:cs="Calibri" w:eastAsia="Calibri" w:hAnsi="Calibri"/>
        </w:rPr>
      </w:pPr>
      <w:r w:rsidDel="00000000" w:rsidR="00000000" w:rsidRPr="00000000">
        <w:rPr>
          <w:rFonts w:ascii="Calibri" w:cs="Calibri" w:eastAsia="Calibri" w:hAnsi="Calibri"/>
          <w:rtl w:val="0"/>
        </w:rPr>
        <w:t xml:space="preserve">1. Calamity-wood pulse (Q3): a large, cheap, time-limited (≈18–24 month) salvage volume, quality- penalised (blue-stain, moisture 20–55%, LHV −10…−25%), usable in direct combustion only.</w:t>
      </w:r>
    </w:p>
    <w:p w:rsidR="00000000" w:rsidDel="00000000" w:rsidP="00000000" w:rsidRDefault="00000000" w:rsidRPr="00000000" w14:paraId="00000062">
      <w:pPr>
        <w:rPr>
          <w:rFonts w:ascii="Calibri" w:cs="Calibri" w:eastAsia="Calibri" w:hAnsi="Calibri"/>
        </w:rPr>
      </w:pPr>
      <w:r w:rsidDel="00000000" w:rsidR="00000000" w:rsidRPr="00000000">
        <w:rPr>
          <w:rFonts w:ascii="Calibri" w:cs="Calibri" w:eastAsia="Calibri" w:hAnsi="Calibri"/>
          <w:rtl w:val="0"/>
        </w:rPr>
        <w:t xml:space="preserve">2. Structural supply deficit: reduced </w:t>
      </w:r>
      <w:r w:rsidDel="00000000" w:rsidR="00000000" w:rsidRPr="00000000">
        <w:rPr>
          <w:rFonts w:ascii="Calibri" w:cs="Calibri" w:eastAsia="Calibri" w:hAnsi="Calibri"/>
          <w:sz w:val="18"/>
          <w:szCs w:val="18"/>
          <w:rtl w:val="0"/>
        </w:rPr>
        <w:t xml:space="preserve">WOOD_FI1/FI2</w:t>
      </w:r>
      <w:r w:rsidDel="00000000" w:rsidR="00000000" w:rsidRPr="00000000">
        <w:rPr>
          <w:rFonts w:ascii="Calibri" w:cs="Calibri" w:eastAsia="Calibri" w:hAnsi="Calibri"/>
          <w:rtl w:val="0"/>
        </w:rPr>
        <w:t xml:space="preserve"> availability for 10–15 years from depleted cohorts and damaged area out of rotation.</w:t>
      </w:r>
    </w:p>
    <w:p w:rsidR="00000000" w:rsidDel="00000000" w:rsidP="00000000" w:rsidRDefault="00000000" w:rsidRPr="00000000" w14:paraId="00000063">
      <w:pPr>
        <w:rPr>
          <w:rFonts w:ascii="Calibri" w:cs="Calibri" w:eastAsia="Calibri" w:hAnsi="Calibri"/>
        </w:rPr>
      </w:pPr>
      <w:r w:rsidDel="00000000" w:rsidR="00000000" w:rsidRPr="00000000">
        <w:rPr>
          <w:rFonts w:ascii="Calibri" w:cs="Calibri" w:eastAsia="Calibri" w:hAnsi="Calibri"/>
          <w:rtl w:val="0"/>
        </w:rPr>
        <w:t xml:space="preserve">3. Sink loss: an immediate LULUCF emission from killed biomass and foregone future growth.</w:t>
      </w:r>
    </w:p>
    <w:p w:rsidR="00000000" w:rsidDel="00000000" w:rsidP="00000000" w:rsidRDefault="00000000" w:rsidRPr="00000000" w14:paraId="00000064">
      <w:pPr>
        <w:rPr>
          <w:rFonts w:ascii="Calibri" w:cs="Calibri" w:eastAsia="Calibri" w:hAnsi="Calibri"/>
        </w:rPr>
      </w:pPr>
      <w:r w:rsidDel="00000000" w:rsidR="00000000" w:rsidRPr="00000000">
        <w:rPr>
          <w:rFonts w:ascii="Calibri" w:cs="Calibri" w:eastAsia="Calibri" w:hAnsi="Calibri"/>
          <w:rtl w:val="0"/>
        </w:rPr>
        <w:t xml:space="preserve">Energy-system response is studied as a pre-shock → post-shock pair with </w:t>
      </w:r>
      <w:r w:rsidDel="00000000" w:rsidR="00000000" w:rsidRPr="00000000">
        <w:rPr>
          <w:rFonts w:ascii="Calibri" w:cs="Calibri" w:eastAsia="Calibri" w:hAnsi="Calibri"/>
          <w:i w:val="1"/>
          <w:iCs w:val="1"/>
          <w:rtl w:val="0"/>
        </w:rPr>
        <w:t xml:space="preserve">constrained re-optimisation</w:t>
      </w:r>
      <w:r w:rsidDel="00000000" w:rsidR="00000000" w:rsidRPr="00000000">
        <w:rPr>
          <w:rFonts w:ascii="Calibri" w:cs="Calibri" w:eastAsia="Calibri" w:hAnsi="Calibri"/>
          <w:rtl w:val="0"/>
        </w:rPr>
        <w:t xml:space="preserve"> (investment lead times lock part of the pre-shock fleet via inherited lower bounds on installed capacity), to expose stranded-asset and transition-delay risks (RQ3).</w:t>
      </w:r>
    </w:p>
    <w:p w:rsidR="00000000" w:rsidDel="00000000" w:rsidP="00000000" w:rsidRDefault="00000000" w:rsidRPr="00000000" w14:paraId="00000065">
      <w:pPr>
        <w:pStyle w:val="Heading3"/>
        <w:rPr>
          <w:b w:val="0"/>
          <w:bCs w:val="0"/>
        </w:rPr>
      </w:pPr>
      <w:r w:rsidDel="00000000" w:rsidR="00000000" w:rsidRPr="00000000">
        <w:rPr>
          <w:b w:val="0"/>
          <w:bCs w:val="0"/>
          <w:rtl w:val="0"/>
        </w:rPr>
        <w:t xml:space="preserve">5.C  Coupling the forest carbon sink into EnergyScope</w:t>
      </w:r>
    </w:p>
    <w:p w:rsidR="00000000" w:rsidDel="00000000" w:rsidP="00000000" w:rsidRDefault="00000000" w:rsidRPr="00000000" w14:paraId="00000066">
      <w:pPr>
        <w:rPr>
          <w:rFonts w:ascii="Calibri" w:cs="Calibri" w:eastAsia="Calibri" w:hAnsi="Calibri"/>
        </w:rPr>
      </w:pPr>
      <w:r w:rsidDel="00000000" w:rsidR="00000000" w:rsidRPr="00000000">
        <w:rPr>
          <w:rFonts w:ascii="Calibri" w:cs="Calibri" w:eastAsia="Calibri" w:hAnsi="Calibri"/>
          <w:rtl w:val="0"/>
        </w:rPr>
        <w:t xml:space="preserve">Make the national climate target a land–energy coupled budget. I could replace the energy-only constraint</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f4f4f4" w:val="clear"/>
        <w:spacing w:after="120" w:before="80" w:line="276" w:lineRule="auto"/>
        <w:ind w:left="198" w:right="198" w:firstLine="0"/>
        <w:jc w:val="center"/>
        <w:rPr>
          <w:rFonts w:ascii="Calibri" w:cs="Calibri" w:eastAsia="Calibri" w:hAnsi="Calibri"/>
          <w:i w:val="0"/>
          <w:iCs w:val="0"/>
          <w:smallCaps w:val="0"/>
          <w:strike w:val="0"/>
          <w:color w:val="000000"/>
          <w:sz w:val="17"/>
          <w:szCs w:val="17"/>
          <w:u w:val="none"/>
          <w:shd w:fill="auto" w:val="clear"/>
          <w:vertAlign w:val="baseline"/>
        </w:rPr>
      </w:pPr>
      <w:r w:rsidDel="00000000" w:rsidR="00000000" w:rsidRPr="00000000">
        <w:rPr>
          <w:rFonts w:ascii="Calibri" w:cs="Calibri" w:eastAsia="Calibri" w:hAnsi="Calibri"/>
          <w:i w:val="0"/>
          <w:iCs w:val="0"/>
          <w:smallCaps w:val="0"/>
          <w:strike w:val="0"/>
          <w:color w:val="000000"/>
          <w:sz w:val="17"/>
          <w:szCs w:val="17"/>
          <w:u w:val="none"/>
          <w:shd w:fill="auto" w:val="clear"/>
          <w:vertAlign w:val="baseline"/>
          <w:rtl w:val="0"/>
        </w:rPr>
        <w:t xml:space="preserve">Σ[r] CO₂_net[r] ≤ gwp_limit</w:t>
      </w:r>
    </w:p>
    <w:p w:rsidR="00000000" w:rsidDel="00000000" w:rsidP="00000000" w:rsidRDefault="00000000" w:rsidRPr="00000000" w14:paraId="00000068">
      <w:pPr>
        <w:rPr>
          <w:rFonts w:ascii="Calibri" w:cs="Calibri" w:eastAsia="Calibri" w:hAnsi="Calibri"/>
        </w:rPr>
      </w:pPr>
      <w:r w:rsidDel="00000000" w:rsidR="00000000" w:rsidRPr="00000000">
        <w:rPr>
          <w:rFonts w:ascii="Calibri" w:cs="Calibri" w:eastAsia="Calibri" w:hAnsi="Calibri"/>
          <w:rtl w:val="0"/>
        </w:rPr>
        <w:t xml:space="preserve">with</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f4f4f4" w:val="clear"/>
        <w:spacing w:after="120" w:before="80" w:line="276" w:lineRule="auto"/>
        <w:ind w:left="198" w:right="198" w:firstLine="0"/>
        <w:jc w:val="center"/>
        <w:rPr>
          <w:rFonts w:ascii="Calibri" w:cs="Calibri" w:eastAsia="Calibri" w:hAnsi="Calibri"/>
          <w:i w:val="0"/>
          <w:iCs w:val="0"/>
          <w:smallCaps w:val="0"/>
          <w:strike w:val="0"/>
          <w:color w:val="000000"/>
          <w:sz w:val="17"/>
          <w:szCs w:val="17"/>
          <w:u w:val="none"/>
          <w:shd w:fill="auto" w:val="clear"/>
          <w:vertAlign w:val="baseline"/>
        </w:rPr>
      </w:pPr>
      <w:r w:rsidDel="00000000" w:rsidR="00000000" w:rsidRPr="00000000">
        <w:rPr>
          <w:rFonts w:ascii="Calibri" w:cs="Calibri" w:eastAsia="Calibri" w:hAnsi="Calibri"/>
          <w:i w:val="0"/>
          <w:iCs w:val="0"/>
          <w:smallCaps w:val="0"/>
          <w:strike w:val="0"/>
          <w:color w:val="000000"/>
          <w:sz w:val="17"/>
          <w:szCs w:val="17"/>
          <w:u w:val="none"/>
          <w:shd w:fill="auto" w:val="clear"/>
          <w:vertAlign w:val="baseline"/>
          <w:rtl w:val="0"/>
        </w:rPr>
        <w:t xml:space="preserve">Σ[r] CO₂_net[r] - S_forest(scenario, year, disturbance) [net sink from G4M, &lt;0 when a sink] ≤ gwp_limit,</w:t>
      </w:r>
    </w:p>
    <w:p w:rsidR="00000000" w:rsidDel="00000000" w:rsidP="00000000" w:rsidRDefault="00000000" w:rsidRPr="00000000" w14:paraId="0000006A">
      <w:pPr>
        <w:rPr>
          <w:rFonts w:ascii="Calibri" w:cs="Calibri" w:eastAsia="Calibri" w:hAnsi="Calibri"/>
        </w:rPr>
      </w:pPr>
      <w:r w:rsidDel="00000000" w:rsidR="00000000" w:rsidRPr="00000000">
        <w:rPr>
          <w:rFonts w:ascii="Calibri" w:cs="Calibri" w:eastAsia="Calibri" w:hAnsi="Calibri"/>
          <w:rtl w:val="0"/>
        </w:rPr>
        <w:t xml:space="preserve">where S_forest is an </w:t>
      </w:r>
      <w:r w:rsidDel="00000000" w:rsidR="00000000" w:rsidRPr="00000000">
        <w:rPr>
          <w:rFonts w:ascii="Calibri" w:cs="Calibri" w:eastAsia="Calibri" w:hAnsi="Calibri"/>
          <w:rtl w:val="0"/>
        </w:rPr>
        <w:t xml:space="preserve">exogenous, scenario-dependent net forest/HWP CO₂ flux supplied by G4M (a single national parameter per scenario-year, extendable to sub-regions). This is a small, transparent AMPL change (one parameter + one term in </w:t>
      </w:r>
      <w:r w:rsidDel="00000000" w:rsidR="00000000" w:rsidRPr="00000000">
        <w:rPr>
          <w:rFonts w:ascii="Calibri" w:cs="Calibri" w:eastAsia="Calibri" w:hAnsi="Calibri"/>
          <w:sz w:val="18"/>
          <w:szCs w:val="18"/>
          <w:rtl w:val="0"/>
        </w:rPr>
        <w:t xml:space="preserve">Minimum_GWP_reduction</w:t>
      </w:r>
      <w:r w:rsidDel="00000000" w:rsidR="00000000" w:rsidRPr="00000000">
        <w:rPr>
          <w:rFonts w:ascii="Calibri" w:cs="Calibri" w:eastAsia="Calibri" w:hAnsi="Calibri"/>
          <w:rtl w:val="0"/>
        </w:rPr>
        <w:t xml:space="preserve">) and it makes harvest intensity and disturbances act on the energy system through the sink, not only through wood availability. It enables:</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RQ2:</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does deep decarbonisation become </w:t>
      </w:r>
      <w:r w:rsidDel="00000000" w:rsidR="00000000" w:rsidRPr="00000000">
        <w:rPr>
          <w:rFonts w:ascii="Calibri" w:cs="Calibri" w:eastAsia="Calibri" w:hAnsi="Calibri"/>
          <w:i w:val="1"/>
          <w:iCs w:val="1"/>
          <w:smallCaps w:val="0"/>
          <w:strike w:val="0"/>
          <w:color w:val="000000"/>
          <w:sz w:val="20"/>
          <w:szCs w:val="20"/>
          <w:u w:val="none"/>
          <w:shd w:fill="auto" w:val="clear"/>
          <w:vertAlign w:val="baseline"/>
          <w:rtl w:val="0"/>
        </w:rPr>
        <w:t xml:space="preserve">cheaper</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under conservation (large sink "credit") or does the energy-only penalty dominate?</w:t>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54"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RQ4 / new S0 scenario:</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define net-zero over </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energy + land</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(require Σ_r CO₂_net ≤ S_forest), i.e. a </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sink-maximising / LULUCF-net-zero</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baseline that replaces the current "neutral" S2 framing. This directly answers the user intent to "maximise the sink or ensure net zero."</w:t>
      </w:r>
    </w:p>
    <w:p w:rsidR="00000000" w:rsidDel="00000000" w:rsidP="00000000" w:rsidRDefault="00000000" w:rsidRPr="00000000" w14:paraId="0000006D">
      <w:pPr>
        <w:rPr>
          <w:rFonts w:ascii="Calibri" w:cs="Calibri" w:eastAsia="Calibri" w:hAnsi="Calibri"/>
        </w:rPr>
      </w:pPr>
      <w:r w:rsidDel="00000000" w:rsidR="00000000" w:rsidRPr="00000000">
        <w:rPr>
          <w:rFonts w:ascii="Calibri" w:cs="Calibri" w:eastAsia="Calibri" w:hAnsi="Calibri"/>
          <w:i w:val="1"/>
          <w:iCs w:val="1"/>
          <w:rtl w:val="0"/>
        </w:rPr>
        <w:t xml:space="preserve">Scope control:</w:t>
      </w:r>
      <w:r w:rsidDel="00000000" w:rsidR="00000000" w:rsidRPr="00000000">
        <w:rPr>
          <w:rFonts w:ascii="Calibri" w:cs="Calibri" w:eastAsia="Calibri" w:hAnsi="Calibri"/>
          <w:rtl w:val="0"/>
        </w:rPr>
        <w:t xml:space="preserve"> S_forest is treated as an </w:t>
      </w:r>
      <w:r w:rsidDel="00000000" w:rsidR="00000000" w:rsidRPr="00000000">
        <w:rPr>
          <w:rFonts w:ascii="Calibri" w:cs="Calibri" w:eastAsia="Calibri" w:hAnsi="Calibri"/>
          <w:rtl w:val="0"/>
        </w:rPr>
        <w:t xml:space="preserve">exogenous input from G4M, not endogenized. EnergyScope model does not optimise forest management, it responds to it. This keeps the coupling one-way and tractable for a first paper, consistent with the open-question Q6 (LULUCF accounting treatment) carried over from the previous note.</w:t>
      </w:r>
    </w:p>
    <w:p w:rsidR="00000000" w:rsidDel="00000000" w:rsidP="00000000" w:rsidRDefault="00000000" w:rsidRPr="00000000" w14:paraId="0000006E">
      <w:pPr>
        <w:pStyle w:val="Heading3"/>
        <w:rPr>
          <w:b w:val="0"/>
          <w:bCs w:val="0"/>
        </w:rPr>
      </w:pPr>
      <w:r w:rsidDel="00000000" w:rsidR="00000000" w:rsidRPr="00000000">
        <w:rPr>
          <w:b w:val="0"/>
          <w:bCs w:val="0"/>
          <w:rtl w:val="0"/>
        </w:rPr>
        <w:t xml:space="preserve">5.D  European, cross-sectoral extension with BeWhere (collaboration track)</w:t>
      </w:r>
    </w:p>
    <w:p w:rsidR="00000000" w:rsidDel="00000000" w:rsidP="00000000" w:rsidRDefault="00000000" w:rsidRPr="00000000" w14:paraId="0000006F">
      <w:pPr>
        <w:rPr>
          <w:rFonts w:ascii="Calibri" w:cs="Calibri" w:eastAsia="Calibri" w:hAnsi="Calibri"/>
        </w:rPr>
      </w:pPr>
      <w:r w:rsidDel="00000000" w:rsidR="00000000" w:rsidRPr="00000000">
        <w:rPr>
          <w:rFonts w:ascii="Calibri" w:cs="Calibri" w:eastAsia="Calibri" w:hAnsi="Calibri"/>
          <w:rtl w:val="0"/>
        </w:rPr>
        <w:t xml:space="preserve">As a parallel/follow-on track with Fabian Schipfer and Shubham Tiwari (IIASA), the quality-and-cost-differentiated supply-curve representation can be scaled from Finland to Europe and from energy to competing end-uses (construction / engineered wood / HWP) using BeWhere. The Finnish EnergyScope study would provide the national, energy-system-optimisation "deep dive"; BeWhere would provide the spatially explicit, multi-sector, European allocation view. The shared object, a transferable, disturbance- and management-sensitive biomass supply curve, is the natural bridge between the two models and the basis for a joint proposal.</w:t>
      </w:r>
    </w:p>
    <w:p w:rsidR="00000000" w:rsidDel="00000000" w:rsidP="00000000" w:rsidRDefault="00000000" w:rsidRPr="00000000" w14:paraId="00000070">
      <w:pPr>
        <w:pBdr>
          <w:bottom w:color="c8d2cb" w:space="1" w:sz="6" w:val="single"/>
        </w:pBdr>
        <w:spacing w:after="120" w:before="40" w:lineRule="auto"/>
        <w:rPr>
          <w:rFonts w:ascii="Calibri" w:cs="Calibri" w:eastAsia="Calibri" w:hAnsi="Calibri"/>
        </w:rPr>
      </w:pPr>
      <w:r w:rsidDel="00000000" w:rsidR="00000000" w:rsidRPr="00000000">
        <w:rPr>
          <w:rtl w:val="0"/>
        </w:rPr>
      </w:r>
    </w:p>
    <w:p w:rsidR="00000000" w:rsidDel="00000000" w:rsidP="00000000" w:rsidRDefault="00000000" w:rsidRPr="00000000" w14:paraId="00000071">
      <w:pPr>
        <w:pStyle w:val="Heading1"/>
        <w:rPr>
          <w:b w:val="0"/>
          <w:bCs w:val="0"/>
        </w:rPr>
      </w:pPr>
      <w:r w:rsidDel="00000000" w:rsidR="00000000" w:rsidRPr="00000000">
        <w:rPr>
          <w:b w:val="0"/>
          <w:bCs w:val="0"/>
          <w:rtl w:val="0"/>
        </w:rPr>
        <w:t xml:space="preserve">6. Path forward</w:t>
      </w:r>
    </w:p>
    <w:p w:rsidR="00000000" w:rsidDel="00000000" w:rsidP="00000000" w:rsidRDefault="00000000" w:rsidRPr="00000000" w14:paraId="00000072">
      <w:pPr>
        <w:rPr>
          <w:rFonts w:ascii="Calibri" w:cs="Calibri" w:eastAsia="Calibri" w:hAnsi="Calibri"/>
        </w:rPr>
      </w:pPr>
      <w:r w:rsidDel="00000000" w:rsidR="00000000" w:rsidRPr="00000000">
        <w:rPr>
          <w:rFonts w:ascii="Calibri" w:cs="Calibri" w:eastAsia="Calibri" w:hAnsi="Calibri"/>
          <w:rtl w:val="0"/>
        </w:rPr>
        <w:t xml:space="preserve">1. [IIASA — G4M team] Confirm that G4M can deliver, for Finland (2025–2060, by management scenario × GWL2/GWL3): (a) harvestable wood by assortment, (b) discussion on ecologically available fractions, (c) net forest + HWP carbon flux, and (d) disturbance-driven mortality/salvage. Confirm spatial resolution and output format.</w:t>
      </w:r>
    </w:p>
    <w:p w:rsidR="00000000" w:rsidDel="00000000" w:rsidP="00000000" w:rsidRDefault="00000000" w:rsidRPr="00000000" w14:paraId="00000073">
      <w:pPr>
        <w:rPr>
          <w:rFonts w:ascii="Calibri" w:cs="Calibri" w:eastAsia="Calibri" w:hAnsi="Calibri"/>
        </w:rPr>
      </w:pPr>
      <w:r w:rsidDel="00000000" w:rsidR="00000000" w:rsidRPr="00000000">
        <w:rPr>
          <w:rFonts w:ascii="Calibri" w:cs="Calibri" w:eastAsia="Calibri" w:hAnsi="Calibri"/>
          <w:rtl w:val="0"/>
        </w:rPr>
        <w:t xml:space="preserve">2. [M. Bordenave] prototype the sink-coupling AMPL term (5.C) against the existing 2035 matrix using </w:t>
      </w:r>
      <w:r w:rsidDel="00000000" w:rsidR="00000000" w:rsidRPr="00000000">
        <w:rPr>
          <w:rFonts w:ascii="Calibri" w:cs="Calibri" w:eastAsia="Calibri" w:hAnsi="Calibri"/>
          <w:i w:val="1"/>
          <w:iCs w:val="1"/>
          <w:rtl w:val="0"/>
        </w:rPr>
        <w:t xml:space="preserve">literature</w:t>
      </w:r>
      <w:r w:rsidDel="00000000" w:rsidR="00000000" w:rsidRPr="00000000">
        <w:rPr>
          <w:rFonts w:ascii="Calibri" w:cs="Calibri" w:eastAsia="Calibri" w:hAnsi="Calibri"/>
          <w:rtl w:val="0"/>
        </w:rPr>
        <w:t xml:space="preserve"> sink values (Blattert) as a placeholder, to demonstrate the mechanism before G4M data arrive.</w:t>
      </w:r>
    </w:p>
    <w:p w:rsidR="00000000" w:rsidDel="00000000" w:rsidP="00000000" w:rsidRDefault="00000000" w:rsidRPr="00000000" w14:paraId="00000074">
      <w:pPr>
        <w:rPr>
          <w:rFonts w:ascii="Calibri" w:cs="Calibri" w:eastAsia="Calibri" w:hAnsi="Calibri"/>
        </w:rPr>
      </w:pPr>
      <w:r w:rsidDel="00000000" w:rsidR="00000000" w:rsidRPr="00000000">
        <w:rPr>
          <w:rFonts w:ascii="Calibri" w:cs="Calibri" w:eastAsia="Calibri" w:hAnsi="Calibri"/>
          <w:rtl w:val="0"/>
        </w:rPr>
        <w:t xml:space="preserve">3. [M. Bordenave + IIASA] Map G4M assortments → </w:t>
      </w:r>
      <w:r w:rsidDel="00000000" w:rsidR="00000000" w:rsidRPr="00000000">
        <w:rPr>
          <w:rFonts w:ascii="Calibri" w:cs="Calibri" w:eastAsia="Calibri" w:hAnsi="Calibri"/>
          <w:sz w:val="18"/>
          <w:szCs w:val="18"/>
          <w:rtl w:val="0"/>
        </w:rPr>
        <w:t xml:space="preserve">WOOD_FI1…FI4</w:t>
      </w:r>
      <w:r w:rsidDel="00000000" w:rsidR="00000000" w:rsidRPr="00000000">
        <w:rPr>
          <w:rFonts w:ascii="Calibri" w:cs="Calibri" w:eastAsia="Calibri" w:hAnsi="Calibri"/>
          <w:rtl w:val="0"/>
        </w:rPr>
        <w:t xml:space="preserve">; adopt best cost data where Finland coverage is sufficient</w:t>
      </w:r>
    </w:p>
    <w:p w:rsidR="00000000" w:rsidDel="00000000" w:rsidP="00000000" w:rsidRDefault="00000000" w:rsidRPr="00000000" w14:paraId="00000075">
      <w:pPr>
        <w:rPr>
          <w:rFonts w:ascii="Calibri" w:cs="Calibri" w:eastAsia="Calibri" w:hAnsi="Calibri"/>
        </w:rPr>
      </w:pPr>
      <w:r w:rsidDel="00000000" w:rsidR="00000000" w:rsidRPr="00000000">
        <w:rPr>
          <w:rFonts w:ascii="Calibri" w:cs="Calibri" w:eastAsia="Calibri" w:hAnsi="Calibri"/>
          <w:rtl w:val="0"/>
        </w:rPr>
        <w:t xml:space="preserve">4. [All] Agree scenario definitions (incl. the new S0 sink-max/net-zero) and the disturbance event design (compound windstorm → beetle, GWL2 primary).</w:t>
      </w:r>
    </w:p>
    <w:p w:rsidR="00000000" w:rsidDel="00000000" w:rsidP="00000000" w:rsidRDefault="00000000" w:rsidRPr="00000000" w14:paraId="00000076">
      <w:pPr>
        <w:rPr>
          <w:rFonts w:ascii="Calibri" w:cs="Calibri" w:eastAsia="Calibri" w:hAnsi="Calibri"/>
        </w:rPr>
      </w:pPr>
      <w:r w:rsidDel="00000000" w:rsidR="00000000" w:rsidRPr="00000000">
        <w:rPr>
          <w:rFonts w:ascii="Calibri" w:cs="Calibri" w:eastAsia="Calibri" w:hAnsi="Calibri"/>
          <w:rtl w:val="0"/>
        </w:rPr>
        <w:t xml:space="preserve">5. [IIASA — Schipfer/Tiwari] Scope the BeWhere European extension as a follow-on; identify the shared supply-curve interface and a target joint output (paper / proposal).</w:t>
      </w:r>
    </w:p>
    <w:p w:rsidR="00000000" w:rsidDel="00000000" w:rsidP="00000000" w:rsidRDefault="00000000" w:rsidRPr="00000000" w14:paraId="00000077">
      <w:pPr>
        <w:pBdr>
          <w:bottom w:color="c8d2cb" w:space="1" w:sz="6" w:val="single"/>
        </w:pBdr>
        <w:spacing w:after="120" w:before="40" w:lineRule="auto"/>
        <w:rPr>
          <w:rFonts w:ascii="Calibri" w:cs="Calibri" w:eastAsia="Calibri" w:hAnsi="Calibri"/>
        </w:rPr>
      </w:pPr>
      <w:r w:rsidDel="00000000" w:rsidR="00000000" w:rsidRPr="00000000">
        <w:rPr>
          <w:rtl w:val="0"/>
        </w:rPr>
      </w:r>
    </w:p>
    <w:p w:rsidR="00000000" w:rsidDel="00000000" w:rsidP="00000000" w:rsidRDefault="00000000" w:rsidRPr="00000000" w14:paraId="00000078">
      <w:pPr>
        <w:pStyle w:val="Heading1"/>
        <w:rPr>
          <w:b w:val="0"/>
          <w:bCs w:val="0"/>
        </w:rPr>
      </w:pPr>
      <w:r w:rsidDel="00000000" w:rsidR="00000000" w:rsidRPr="00000000">
        <w:rPr>
          <w:b w:val="0"/>
          <w:bCs w:val="0"/>
          <w:rtl w:val="0"/>
        </w:rPr>
        <w:t xml:space="preserve">8. Open questions for IIASA</w:t>
      </w:r>
    </w:p>
    <w:tbl>
      <w:tblPr>
        <w:tblStyle w:val="Table3"/>
        <w:tblW w:w="1008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7"/>
        <w:gridCol w:w="6755"/>
        <w:tblGridChange w:id="0">
          <w:tblGrid>
            <w:gridCol w:w="3327"/>
            <w:gridCol w:w="6755"/>
          </w:tblGrid>
        </w:tblGridChange>
      </w:tblGrid>
      <w:tr>
        <w:trPr>
          <w:cantSplit w:val="0"/>
          <w:tblHeader w:val="0"/>
        </w:trPr>
        <w:tc>
          <w:tcPr>
            <w:shd w:fill="e9f0ea" w:val="clear"/>
          </w:tcPr>
          <w:p w:rsidR="00000000" w:rsidDel="00000000" w:rsidP="00000000" w:rsidRDefault="00000000" w:rsidRPr="00000000" w14:paraId="00000079">
            <w:pPr>
              <w:spacing w:after="20" w:lineRule="auto"/>
              <w:rPr>
                <w:rFonts w:ascii="Calibri" w:cs="Calibri" w:eastAsia="Calibri" w:hAnsi="Calibri"/>
              </w:rPr>
            </w:pPr>
            <w:r w:rsidDel="00000000" w:rsidR="00000000" w:rsidRPr="00000000">
              <w:rPr>
                <w:rFonts w:ascii="Calibri" w:cs="Calibri" w:eastAsia="Calibri" w:hAnsi="Calibri"/>
                <w:rtl w:val="0"/>
              </w:rPr>
              <w:t xml:space="preserve">#</w:t>
            </w:r>
          </w:p>
        </w:tc>
        <w:tc>
          <w:tcPr>
            <w:shd w:fill="e9f0ea" w:val="clear"/>
          </w:tcPr>
          <w:p w:rsidR="00000000" w:rsidDel="00000000" w:rsidP="00000000" w:rsidRDefault="00000000" w:rsidRPr="00000000" w14:paraId="0000007A">
            <w:pPr>
              <w:spacing w:after="20" w:lineRule="auto"/>
              <w:rPr>
                <w:rFonts w:ascii="Calibri" w:cs="Calibri" w:eastAsia="Calibri" w:hAnsi="Calibri"/>
              </w:rPr>
            </w:pPr>
            <w:r w:rsidDel="00000000" w:rsidR="00000000" w:rsidRPr="00000000">
              <w:rPr>
                <w:rFonts w:ascii="Calibri" w:cs="Calibri" w:eastAsia="Calibri" w:hAnsi="Calibri"/>
                <w:rtl w:val="0"/>
              </w:rPr>
              <w:t xml:space="preserve">Question</w:t>
            </w:r>
          </w:p>
        </w:tc>
      </w:tr>
      <w:tr>
        <w:trPr>
          <w:cantSplit w:val="0"/>
          <w:tblHeader w:val="0"/>
        </w:trPr>
        <w:tc>
          <w:tcPr/>
          <w:p w:rsidR="00000000" w:rsidDel="00000000" w:rsidP="00000000" w:rsidRDefault="00000000" w:rsidRPr="00000000" w14:paraId="0000007B">
            <w:pPr>
              <w:spacing w:after="20" w:lineRule="auto"/>
              <w:rPr>
                <w:rFonts w:ascii="Calibri" w:cs="Calibri" w:eastAsia="Calibri" w:hAnsi="Calibri"/>
              </w:rPr>
            </w:pPr>
            <w:r w:rsidDel="00000000" w:rsidR="00000000" w:rsidRPr="00000000">
              <w:rPr>
                <w:rFonts w:ascii="Calibri" w:cs="Calibri" w:eastAsia="Calibri" w:hAnsi="Calibri"/>
                <w:rtl w:val="0"/>
              </w:rPr>
              <w:t xml:space="preserve">Q1</w:t>
            </w:r>
          </w:p>
        </w:tc>
        <w:tc>
          <w:tcPr/>
          <w:p w:rsidR="00000000" w:rsidDel="00000000" w:rsidP="00000000" w:rsidRDefault="00000000" w:rsidRPr="00000000" w14:paraId="0000007C">
            <w:pPr>
              <w:spacing w:after="20" w:lineRule="auto"/>
              <w:rPr>
                <w:rFonts w:ascii="Calibri" w:cs="Calibri" w:eastAsia="Calibri" w:hAnsi="Calibri"/>
              </w:rPr>
            </w:pPr>
            <w:r w:rsidDel="00000000" w:rsidR="00000000" w:rsidRPr="00000000">
              <w:rPr>
                <w:rFonts w:ascii="Calibri" w:cs="Calibri" w:eastAsia="Calibri" w:hAnsi="Calibri"/>
                <w:rtl w:val="0"/>
              </w:rPr>
              <w:t xml:space="preserve">Does G4M already run for Finland at a resolution usable for national supply curves, and can it output assortment-level harvest and net carbon/HWP flux per management scenario?</w:t>
            </w:r>
          </w:p>
        </w:tc>
      </w:tr>
      <w:tr>
        <w:trPr>
          <w:cantSplit w:val="0"/>
          <w:tblHeader w:val="0"/>
        </w:trPr>
        <w:tc>
          <w:tcPr/>
          <w:p w:rsidR="00000000" w:rsidDel="00000000" w:rsidP="00000000" w:rsidRDefault="00000000" w:rsidRPr="00000000" w14:paraId="0000007D">
            <w:pPr>
              <w:spacing w:after="20" w:lineRule="auto"/>
              <w:rPr>
                <w:rFonts w:ascii="Calibri" w:cs="Calibri" w:eastAsia="Calibri" w:hAnsi="Calibri"/>
              </w:rPr>
            </w:pPr>
            <w:r w:rsidDel="00000000" w:rsidR="00000000" w:rsidRPr="00000000">
              <w:rPr>
                <w:rFonts w:ascii="Calibri" w:cs="Calibri" w:eastAsia="Calibri" w:hAnsi="Calibri"/>
                <w:rtl w:val="0"/>
              </w:rPr>
              <w:t xml:space="preserve">Q2</w:t>
            </w:r>
          </w:p>
        </w:tc>
        <w:tc>
          <w:tcPr/>
          <w:p w:rsidR="00000000" w:rsidDel="00000000" w:rsidP="00000000" w:rsidRDefault="00000000" w:rsidRPr="00000000" w14:paraId="0000007E">
            <w:pPr>
              <w:spacing w:after="20" w:lineRule="auto"/>
              <w:rPr>
                <w:rFonts w:ascii="Calibri" w:cs="Calibri" w:eastAsia="Calibri" w:hAnsi="Calibri"/>
              </w:rPr>
            </w:pPr>
            <w:r w:rsidDel="00000000" w:rsidR="00000000" w:rsidRPr="00000000">
              <w:rPr>
                <w:rFonts w:ascii="Calibri" w:cs="Calibri" w:eastAsia="Calibri" w:hAnsi="Calibri"/>
                <w:rtl w:val="0"/>
              </w:rPr>
              <w:t xml:space="preserve">How should disturbance-related mortality be treated in Finland's LULUCF / forest reference level — i.e. should calamity-wood carbon be charged to the coupled GHG budget?</w:t>
            </w:r>
          </w:p>
        </w:tc>
      </w:tr>
      <w:tr>
        <w:trPr>
          <w:cantSplit w:val="0"/>
          <w:tblHeader w:val="0"/>
        </w:trPr>
        <w:tc>
          <w:tcPr/>
          <w:p w:rsidR="00000000" w:rsidDel="00000000" w:rsidP="00000000" w:rsidRDefault="00000000" w:rsidRPr="00000000" w14:paraId="0000007F">
            <w:pPr>
              <w:spacing w:after="20" w:lineRule="auto"/>
              <w:rPr>
                <w:rFonts w:ascii="Calibri" w:cs="Calibri" w:eastAsia="Calibri" w:hAnsi="Calibri"/>
              </w:rPr>
            </w:pPr>
            <w:r w:rsidDel="00000000" w:rsidR="00000000" w:rsidRPr="00000000">
              <w:rPr>
                <w:rFonts w:ascii="Calibri" w:cs="Calibri" w:eastAsia="Calibri" w:hAnsi="Calibri"/>
                <w:rtl w:val="0"/>
              </w:rPr>
              <w:t xml:space="preserve">Q3</w:t>
            </w:r>
          </w:p>
        </w:tc>
        <w:tc>
          <w:tcPr/>
          <w:p w:rsidR="00000000" w:rsidDel="00000000" w:rsidP="00000000" w:rsidRDefault="00000000" w:rsidRPr="00000000" w14:paraId="00000080">
            <w:pPr>
              <w:spacing w:after="20" w:lineRule="auto"/>
              <w:rPr>
                <w:rFonts w:ascii="Calibri" w:cs="Calibri" w:eastAsia="Calibri" w:hAnsi="Calibri"/>
              </w:rPr>
            </w:pPr>
            <w:r w:rsidDel="00000000" w:rsidR="00000000" w:rsidRPr="00000000">
              <w:rPr>
                <w:rFonts w:ascii="Calibri" w:cs="Calibri" w:eastAsia="Calibri" w:hAnsi="Calibri"/>
                <w:rtl w:val="0"/>
              </w:rPr>
              <w:t xml:space="preserve">Are you (Shubham, Fabian) interested in a BeWhere-based European/construction extension built on the same supply-curve object, and on what timeline?</w:t>
            </w:r>
          </w:p>
        </w:tc>
      </w:tr>
      <w:tr>
        <w:trPr>
          <w:cantSplit w:val="0"/>
          <w:tblHeader w:val="0"/>
        </w:trPr>
        <w:tc>
          <w:tcPr/>
          <w:p w:rsidR="00000000" w:rsidDel="00000000" w:rsidP="00000000" w:rsidRDefault="00000000" w:rsidRPr="00000000" w14:paraId="00000081">
            <w:pPr>
              <w:rPr>
                <w:rFonts w:ascii="Calibri" w:cs="Calibri" w:eastAsia="Calibri" w:hAnsi="Calibri"/>
              </w:rPr>
            </w:pPr>
            <w:r w:rsidDel="00000000" w:rsidR="00000000" w:rsidRPr="00000000">
              <w:rPr>
                <w:rFonts w:ascii="Calibri" w:cs="Calibri" w:eastAsia="Calibri" w:hAnsi="Calibri"/>
                <w:rtl w:val="0"/>
              </w:rPr>
              <w:t xml:space="preserve">Q4</w:t>
            </w:r>
          </w:p>
        </w:tc>
        <w:tc>
          <w:tcPr/>
          <w:p w:rsidR="00000000" w:rsidDel="00000000" w:rsidP="00000000" w:rsidRDefault="00000000" w:rsidRPr="00000000" w14:paraId="00000082">
            <w:pPr>
              <w:rPr>
                <w:rFonts w:ascii="Calibri" w:cs="Calibri" w:eastAsia="Calibri" w:hAnsi="Calibri"/>
              </w:rPr>
            </w:pPr>
            <w:r w:rsidDel="00000000" w:rsidR="00000000" w:rsidRPr="00000000">
              <w:rPr>
                <w:rFonts w:ascii="Calibri" w:cs="Calibri" w:eastAsia="Calibri" w:hAnsi="Calibri"/>
                <w:rtl w:val="0"/>
              </w:rPr>
              <w:t xml:space="preserve">Can G4M resolve harvest by assortment under distinct management regimes (intensive / balanced / conservation) for Finland, and at what harvest-level denominator (share of annual increment vs share of maximum sustainable)?</w:t>
            </w:r>
          </w:p>
        </w:tc>
      </w:tr>
      <w:tr>
        <w:trPr>
          <w:cantSplit w:val="0"/>
          <w:tblHeader w:val="0"/>
        </w:trPr>
        <w:tc>
          <w:tcPr/>
          <w:p w:rsidR="00000000" w:rsidDel="00000000" w:rsidP="00000000" w:rsidRDefault="00000000" w:rsidRPr="00000000" w14:paraId="00000083">
            <w:pPr>
              <w:rPr>
                <w:rFonts w:ascii="Calibri" w:cs="Calibri" w:eastAsia="Calibri" w:hAnsi="Calibri"/>
              </w:rPr>
            </w:pPr>
            <w:r w:rsidDel="00000000" w:rsidR="00000000" w:rsidRPr="00000000">
              <w:rPr>
                <w:rFonts w:ascii="Calibri" w:cs="Calibri" w:eastAsia="Calibri" w:hAnsi="Calibri"/>
                <w:rtl w:val="0"/>
              </w:rPr>
              <w:t xml:space="preserve">Q5</w:t>
            </w:r>
          </w:p>
        </w:tc>
        <w:tc>
          <w:tcPr/>
          <w:p w:rsidR="00000000" w:rsidDel="00000000" w:rsidP="00000000" w:rsidRDefault="00000000" w:rsidRPr="00000000" w14:paraId="00000084">
            <w:pPr>
              <w:rPr>
                <w:rFonts w:ascii="Calibri" w:cs="Calibri" w:eastAsia="Calibri" w:hAnsi="Calibri"/>
              </w:rPr>
            </w:pPr>
            <w:r w:rsidDel="00000000" w:rsidR="00000000" w:rsidRPr="00000000">
              <w:rPr>
                <w:rFonts w:ascii="Calibri" w:cs="Calibri" w:eastAsia="Calibri" w:hAnsi="Calibri"/>
                <w:rtl w:val="0"/>
              </w:rPr>
              <w:t xml:space="preserve">How in IIASA you endogenise the industry-vs-energy split, so the energy-available residue is what remains after industrial roundwood demand under each scenario and what industrial-demand trajectory does we assume?</w:t>
            </w:r>
          </w:p>
        </w:tc>
      </w:tr>
      <w:tr>
        <w:trPr>
          <w:cantSplit w:val="0"/>
          <w:tblHeader w:val="0"/>
        </w:trPr>
        <w:tc>
          <w:tcPr/>
          <w:p w:rsidR="00000000" w:rsidDel="00000000" w:rsidP="00000000" w:rsidRDefault="00000000" w:rsidRPr="00000000" w14:paraId="00000085">
            <w:pPr>
              <w:rPr>
                <w:rFonts w:ascii="Calibri" w:cs="Calibri" w:eastAsia="Calibri" w:hAnsi="Calibri"/>
              </w:rPr>
            </w:pPr>
            <w:r w:rsidDel="00000000" w:rsidR="00000000" w:rsidRPr="00000000">
              <w:rPr>
                <w:rFonts w:ascii="Calibri" w:cs="Calibri" w:eastAsia="Calibri" w:hAnsi="Calibri"/>
                <w:rtl w:val="0"/>
              </w:rPr>
              <w:t xml:space="preserve">Q6</w:t>
            </w:r>
          </w:p>
        </w:tc>
        <w:tc>
          <w:tcPr/>
          <w:p w:rsidR="00000000" w:rsidDel="00000000" w:rsidP="00000000" w:rsidRDefault="00000000" w:rsidRPr="00000000" w14:paraId="00000086">
            <w:pPr>
              <w:rPr>
                <w:rFonts w:ascii="Calibri" w:cs="Calibri" w:eastAsia="Calibri" w:hAnsi="Calibri"/>
              </w:rPr>
            </w:pPr>
            <w:r w:rsidDel="00000000" w:rsidR="00000000" w:rsidRPr="00000000">
              <w:rPr>
                <w:rFonts w:ascii="Calibri" w:cs="Calibri" w:eastAsia="Calibri" w:hAnsi="Calibri"/>
                <w:rtl w:val="0"/>
              </w:rPr>
              <w:t xml:space="preserve">How should the mill by-product stream (WOOD_FI1: black liquor, bark, sawdust) be obtained — a G4M-linked processing-yield conversion, or national statistics (LUKE)/ENSPRESSO ?</w:t>
            </w:r>
          </w:p>
        </w:tc>
      </w:tr>
      <w:tr>
        <w:trPr>
          <w:cantSplit w:val="0"/>
          <w:tblHeader w:val="0"/>
        </w:trPr>
        <w:tc>
          <w:tcPr/>
          <w:p w:rsidR="00000000" w:rsidDel="00000000" w:rsidP="00000000" w:rsidRDefault="00000000" w:rsidRPr="00000000" w14:paraId="00000087">
            <w:pPr>
              <w:rPr>
                <w:rFonts w:ascii="Calibri" w:cs="Calibri" w:eastAsia="Calibri" w:hAnsi="Calibri"/>
              </w:rPr>
            </w:pPr>
            <w:r w:rsidDel="00000000" w:rsidR="00000000" w:rsidRPr="00000000">
              <w:rPr>
                <w:rFonts w:ascii="Calibri" w:cs="Calibri" w:eastAsia="Calibri" w:hAnsi="Calibri"/>
                <w:rtl w:val="0"/>
              </w:rPr>
              <w:t xml:space="preserve">Q7</w:t>
            </w:r>
          </w:p>
        </w:tc>
        <w:tc>
          <w:tcPr/>
          <w:p w:rsidR="00000000" w:rsidDel="00000000" w:rsidP="00000000" w:rsidRDefault="00000000" w:rsidRPr="00000000" w14:paraId="00000088">
            <w:pPr>
              <w:rPr>
                <w:rFonts w:ascii="Calibri" w:cs="Calibri" w:eastAsia="Calibri" w:hAnsi="Calibri"/>
              </w:rPr>
            </w:pPr>
            <w:r w:rsidDel="00000000" w:rsidR="00000000" w:rsidRPr="00000000">
              <w:rPr>
                <w:rFonts w:ascii="Calibri" w:cs="Calibri" w:eastAsia="Calibri" w:hAnsi="Calibri"/>
                <w:rtl w:val="0"/>
              </w:rPr>
              <w:t xml:space="preserve">Are the ecological availability fractions (deadwood/residue retention, set-aside) applied inside G4M per scenario, or must we post-apply them to raw harvest?</w:t>
            </w:r>
          </w:p>
        </w:tc>
      </w:tr>
    </w:tbl>
    <w:p w:rsidR="00000000" w:rsidDel="00000000" w:rsidP="00000000" w:rsidRDefault="00000000" w:rsidRPr="00000000" w14:paraId="00000089">
      <w:pPr>
        <w:spacing w:after="40" w:lineRule="auto"/>
        <w:rPr>
          <w:rFonts w:ascii="Calibri" w:cs="Calibri" w:eastAsia="Calibri" w:hAnsi="Calibri"/>
        </w:rPr>
      </w:pPr>
      <w:r w:rsidDel="00000000" w:rsidR="00000000" w:rsidRPr="00000000">
        <w:rPr>
          <w:rtl w:val="0"/>
        </w:rPr>
      </w:r>
    </w:p>
    <w:p w:rsidR="00000000" w:rsidDel="00000000" w:rsidP="00000000" w:rsidRDefault="00000000" w:rsidRPr="00000000" w14:paraId="0000008A">
      <w:pPr>
        <w:pBdr>
          <w:bottom w:color="c8d2cb" w:space="1" w:sz="6" w:val="single"/>
        </w:pBdr>
        <w:spacing w:after="120" w:before="40" w:lineRule="auto"/>
        <w:rPr>
          <w:rFonts w:ascii="Calibri" w:cs="Calibri" w:eastAsia="Calibri" w:hAnsi="Calibri"/>
        </w:rPr>
      </w:pPr>
      <w:r w:rsidDel="00000000" w:rsidR="00000000" w:rsidRPr="00000000">
        <w:rPr>
          <w:rtl w:val="0"/>
        </w:rPr>
      </w:r>
    </w:p>
    <w:p w:rsidR="00000000" w:rsidDel="00000000" w:rsidP="00000000" w:rsidRDefault="00000000" w:rsidRPr="00000000" w14:paraId="0000008B">
      <w:pPr>
        <w:pStyle w:val="Heading1"/>
        <w:rPr>
          <w:b w:val="0"/>
          <w:bCs w:val="0"/>
        </w:rPr>
      </w:pPr>
      <w:r w:rsidDel="00000000" w:rsidR="00000000" w:rsidRPr="00000000">
        <w:rPr>
          <w:b w:val="0"/>
          <w:bCs w:val="0"/>
          <w:rtl w:val="0"/>
        </w:rPr>
        <w:t xml:space="preserve">References</w:t>
      </w:r>
    </w:p>
    <w:p w:rsidR="00000000" w:rsidDel="00000000" w:rsidP="00000000" w:rsidRDefault="00000000" w:rsidRPr="00000000"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Blattert, C. et al. (2022). Sectoral policies cause incoherence in forest management and ecosystem service provisioning. </w:t>
      </w:r>
      <w:r w:rsidDel="00000000" w:rsidR="00000000" w:rsidRPr="00000000">
        <w:rPr>
          <w:rFonts w:ascii="Calibri" w:cs="Calibri" w:eastAsia="Calibri" w:hAnsi="Calibri"/>
          <w:i w:val="1"/>
          <w:iCs w:val="1"/>
          <w:smallCaps w:val="0"/>
          <w:strike w:val="0"/>
          <w:color w:val="000000"/>
          <w:sz w:val="20"/>
          <w:szCs w:val="20"/>
          <w:u w:val="none"/>
          <w:shd w:fill="auto" w:val="clear"/>
          <w:vertAlign w:val="baseline"/>
          <w:rtl w:val="0"/>
        </w:rPr>
        <w:t xml:space="preserve">Forest Policy and Economics</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136, 102689.</w:t>
      </w:r>
    </w:p>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Colla, M. et al. (2022). Optimal Use of Lignocellulosic Biomass in a Multi-Sector Energy System.</w:t>
      </w:r>
    </w:p>
    <w:p w:rsidR="00000000" w:rsidDel="00000000" w:rsidP="00000000" w:rsidRDefault="00000000" w:rsidRPr="00000000" w14:paraId="00000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Gusti, M. (2010). An algorithm for simulation of forest management decisions in the global forest model (G4M).</w:t>
      </w:r>
    </w:p>
    <w:p w:rsidR="00000000" w:rsidDel="00000000" w:rsidP="00000000" w:rsidRDefault="00000000" w:rsidRPr="00000000" w14:paraId="00000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Hlásny, T. et al. (2021). Devastating outbreak of bark beetles in the Czech Republic. </w:t>
      </w:r>
      <w:r w:rsidDel="00000000" w:rsidR="00000000" w:rsidRPr="00000000">
        <w:rPr>
          <w:rFonts w:ascii="Calibri" w:cs="Calibri" w:eastAsia="Calibri" w:hAnsi="Calibri"/>
          <w:i w:val="1"/>
          <w:iCs w:val="1"/>
          <w:smallCaps w:val="0"/>
          <w:strike w:val="0"/>
          <w:color w:val="000000"/>
          <w:sz w:val="20"/>
          <w:szCs w:val="20"/>
          <w:u w:val="none"/>
          <w:shd w:fill="auto" w:val="clear"/>
          <w:vertAlign w:val="baseline"/>
          <w:rtl w:val="0"/>
        </w:rPr>
        <w:t xml:space="preserve">For. Ecol. Manage.</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i w:val="0"/>
          <w:iCs w:val="0"/>
          <w:smallCaps w:val="0"/>
          <w:strike w:val="0"/>
          <w:color w:val="000000"/>
          <w:sz w:val="18"/>
          <w:szCs w:val="18"/>
          <w:u w:val="none"/>
          <w:shd w:fill="auto" w:val="clear"/>
          <w:vertAlign w:val="baseline"/>
          <w:rtl w:val="0"/>
        </w:rPr>
        <w:t xml:space="preserve">j.foreco.2021.119075</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Kärhä, K. et al. (2018). Salvage logging productivity and costs in windthrown Norway spruce. </w:t>
      </w:r>
      <w:r w:rsidDel="00000000" w:rsidR="00000000" w:rsidRPr="00000000">
        <w:rPr>
          <w:rFonts w:ascii="Calibri" w:cs="Calibri" w:eastAsia="Calibri" w:hAnsi="Calibri"/>
          <w:i w:val="1"/>
          <w:iCs w:val="1"/>
          <w:smallCaps w:val="0"/>
          <w:strike w:val="0"/>
          <w:color w:val="000000"/>
          <w:sz w:val="20"/>
          <w:szCs w:val="20"/>
          <w:u w:val="none"/>
          <w:shd w:fill="auto" w:val="clear"/>
          <w:vertAlign w:val="baseline"/>
          <w:rtl w:val="0"/>
        </w:rPr>
        <w:t xml:space="preserve">Forests</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9(5), 280.</w:t>
      </w:r>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Kindermann, G. et al. (2008). A global forest growing stock, biomass and carbon map based on FAO statistics (G4M basis).</w:t>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Krasovskiy, A. et al. (2025). ForestNavigator D3.4 — natural disturbances and extreme events impact on forest mitigation potential.</w:t>
      </w:r>
    </w:p>
    <w:p w:rsidR="00000000" w:rsidDel="00000000" w:rsidP="00000000" w:rsidRDefault="00000000" w:rsidRPr="00000000" w14:paraId="00000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rFonts w:ascii="Calibri" w:cs="Calibri" w:eastAsia="Calibri" w:hAnsi="Calibri"/>
          <w:i w:val="0"/>
          <w:iCs w:val="0"/>
          <w:smallCaps w:val="0"/>
          <w:strike w:val="0"/>
          <w:color w:val="000000"/>
          <w:sz w:val="20"/>
          <w:szCs w:val="20"/>
          <w:shd w:fill="auto" w:val="clear"/>
          <w:vertAlign w:val="baseline"/>
        </w:rPr>
      </w:pP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Lauri, P., Forsell, N., di Fulvio, F. et al. — G4M applications in GLOBIOM/ForestNavigator.</w:t>
      </w:r>
    </w:p>
    <w:p w:rsidR="00000000" w:rsidDel="00000000" w:rsidP="00000000" w:rsidRDefault="00000000" w:rsidRPr="00000000" w14:paraId="00000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Leduc, S., Kraxner, F., Schipfer, F. et al. — BeWhere model and bioenergy/forest-industry siting.</w:t>
      </w:r>
    </w:p>
    <w:p w:rsidR="00000000" w:rsidDel="00000000" w:rsidP="00000000" w:rsidRDefault="00000000" w:rsidRPr="00000000" w14:paraId="00000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Mönkkönen, M. et al. (2024). Ecologically and economically sustainable level of timber harvesting in boreal forests. </w:t>
      </w:r>
      <w:r w:rsidDel="00000000" w:rsidR="00000000" w:rsidRPr="00000000">
        <w:rPr>
          <w:rFonts w:ascii="Calibri" w:cs="Calibri" w:eastAsia="Calibri" w:hAnsi="Calibri"/>
          <w:i w:val="1"/>
          <w:iCs w:val="1"/>
          <w:smallCaps w:val="0"/>
          <w:strike w:val="0"/>
          <w:color w:val="000000"/>
          <w:sz w:val="20"/>
          <w:szCs w:val="20"/>
          <w:u w:val="none"/>
          <w:shd w:fill="auto" w:val="clear"/>
          <w:vertAlign w:val="baseline"/>
          <w:rtl w:val="0"/>
        </w:rPr>
        <w:t xml:space="preserve">bioRxiv</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2024.06.27.600997.</w:t>
      </w:r>
    </w:p>
    <w:p w:rsidR="00000000" w:rsidDel="00000000" w:rsidP="00000000" w:rsidRDefault="00000000" w:rsidRPr="00000000" w14:paraId="00000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Patacca, M. et al. (2023). Significant increase in natural disturbance impacts on European forests since 1950. </w:t>
      </w:r>
      <w:r w:rsidDel="00000000" w:rsidR="00000000" w:rsidRPr="00000000">
        <w:rPr>
          <w:rFonts w:ascii="Calibri" w:cs="Calibri" w:eastAsia="Calibri" w:hAnsi="Calibri"/>
          <w:i w:val="1"/>
          <w:iCs w:val="1"/>
          <w:smallCaps w:val="0"/>
          <w:strike w:val="0"/>
          <w:color w:val="000000"/>
          <w:sz w:val="20"/>
          <w:szCs w:val="20"/>
          <w:u w:val="none"/>
          <w:shd w:fill="auto" w:val="clear"/>
          <w:vertAlign w:val="baseline"/>
          <w:rtl w:val="0"/>
        </w:rPr>
        <w:t xml:space="preserve">Global Change Biology</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29(5).</w:t>
      </w:r>
    </w:p>
    <w:p w:rsidR="00000000" w:rsidDel="00000000" w:rsidP="00000000" w:rsidRDefault="00000000" w:rsidRPr="00000000" w14:paraId="00000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54"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Venäläinen, A. et al. (2020). Climate change induces multiple risks to boreal forests and forestry in Finland. </w:t>
      </w:r>
      <w:r w:rsidDel="00000000" w:rsidR="00000000" w:rsidRPr="00000000">
        <w:rPr>
          <w:rFonts w:ascii="Calibri" w:cs="Calibri" w:eastAsia="Calibri" w:hAnsi="Calibri"/>
          <w:i w:val="1"/>
          <w:iCs w:val="1"/>
          <w:smallCaps w:val="0"/>
          <w:strike w:val="0"/>
          <w:color w:val="000000"/>
          <w:sz w:val="20"/>
          <w:szCs w:val="20"/>
          <w:u w:val="none"/>
          <w:shd w:fill="auto" w:val="clear"/>
          <w:vertAlign w:val="baseline"/>
          <w:rtl w:val="0"/>
        </w:rPr>
        <w:t xml:space="preserve">Global Change Biology</w:t>
      </w:r>
      <w:r w:rsidDel="00000000" w:rsidR="00000000" w:rsidRPr="00000000">
        <w:rPr>
          <w:rFonts w:ascii="Calibri" w:cs="Calibri" w:eastAsia="Calibri" w:hAnsi="Calibri"/>
          <w:i w:val="0"/>
          <w:iCs w:val="0"/>
          <w:smallCaps w:val="0"/>
          <w:strike w:val="0"/>
          <w:color w:val="000000"/>
          <w:sz w:val="20"/>
          <w:szCs w:val="20"/>
          <w:u w:val="none"/>
          <w:shd w:fill="auto" w:val="clear"/>
          <w:vertAlign w:val="baseline"/>
          <w:rtl w:val="0"/>
        </w:rPr>
        <w:t xml:space="preserve"> 26(8).</w:t>
      </w:r>
    </w:p>
    <w:p w:rsidR="00000000" w:rsidDel="00000000" w:rsidP="00000000" w:rsidRDefault="00000000" w:rsidRPr="00000000" w14:paraId="00000098">
      <w:pPr>
        <w:rPr>
          <w:rFonts w:ascii="Calibri" w:cs="Calibri" w:eastAsia="Calibri" w:hAnsi="Calibri"/>
        </w:rPr>
      </w:pPr>
      <w:r w:rsidDel="00000000" w:rsidR="00000000" w:rsidRPr="00000000">
        <w:rPr>
          <w:rtl w:val="0"/>
        </w:rPr>
      </w:r>
    </w:p>
    <w:sectPr>
      <w:headerReference r:id="rId7" w:type="default"/>
      <w:footerReference r:id="rId8" w:type="default"/>
      <w:pgSz w:h="16838" w:w="11906" w:orient="portrait"/>
      <w:pgMar w:bottom="1020" w:top="1020" w:left="907" w:right="90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pto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787878"/>
        <w:sz w:val="17"/>
        <w:szCs w:val="17"/>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lang w:val="en"/>
      </w:rPr>
    </w:rPrDefault>
    <w:pPrDefault>
      <w:pPr>
        <w:spacing w:after="100" w:line="25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200" w:lineRule="auto"/>
    </w:pPr>
    <w:rPr>
      <w:rFonts w:ascii="Calibri" w:cs="Calibri" w:eastAsia="Calibri" w:hAnsi="Calibri"/>
      <w:b w:val="1"/>
      <w:bCs w:val="1"/>
      <w:color w:val="1f4e3c"/>
      <w:sz w:val="30"/>
      <w:szCs w:val="30"/>
    </w:rPr>
  </w:style>
  <w:style w:type="paragraph" w:styleId="Heading2">
    <w:name w:val="heading 2"/>
    <w:basedOn w:val="Normal"/>
    <w:next w:val="Normal"/>
    <w:pPr>
      <w:keepNext w:val="1"/>
      <w:keepLines w:val="1"/>
      <w:spacing w:after="80" w:before="200" w:lineRule="auto"/>
    </w:pPr>
    <w:rPr>
      <w:rFonts w:ascii="Calibri" w:cs="Calibri" w:eastAsia="Calibri" w:hAnsi="Calibri"/>
      <w:b w:val="1"/>
      <w:bCs w:val="1"/>
      <w:color w:val="1f4e3c"/>
      <w:sz w:val="25"/>
      <w:szCs w:val="25"/>
    </w:rPr>
  </w:style>
  <w:style w:type="paragraph" w:styleId="Heading3">
    <w:name w:val="heading 3"/>
    <w:basedOn w:val="Normal"/>
    <w:next w:val="Normal"/>
    <w:pPr>
      <w:keepNext w:val="1"/>
      <w:keepLines w:val="1"/>
      <w:spacing w:after="80" w:before="200" w:lineRule="auto"/>
    </w:pPr>
    <w:rPr>
      <w:rFonts w:ascii="Calibri" w:cs="Calibri" w:eastAsia="Calibri" w:hAnsi="Calibri"/>
      <w:b w:val="1"/>
      <w:bCs w:val="1"/>
      <w:color w:val="3c5a48"/>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f4e3c"/>
      <w:sz w:val="44"/>
      <w:szCs w:val="44"/>
    </w:rPr>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CodeBlock" w:customStyle="1">
    <w:name w:val="Code Block"/>
    <w:pPr>
      <w:shd w:color="auto" w:fill="f4f4f4" w:val="clear"/>
      <w:spacing w:after="120" w:before="80"/>
      <w:ind w:left="198" w:right="198"/>
    </w:pPr>
    <w:rPr>
      <w:rFonts w:ascii="Consolas" w:eastAsia="Consolas" w:hAnsi="Consolas"/>
      <w:sz w:val="17"/>
    </w:rPr>
  </w:style>
  <w:style w:type="paragraph" w:styleId="Subtitle">
    <w:name w:val="Subtitle"/>
    <w:basedOn w:val="Normal"/>
    <w:next w:val="Normal"/>
    <w:pPr/>
    <w:rPr>
      <w:rFonts w:ascii="Calibri" w:cs="Calibri" w:eastAsia="Calibri" w:hAnsi="Calibri"/>
      <w:i w:val="1"/>
      <w:iCs w:val="1"/>
      <w:color w:val="505050"/>
      <w:sz w:val="26"/>
      <w:szCs w:val="26"/>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Sr4lBtptBbqch8M+GdIIUXUmUw==">CgMxLjA4AHIhMTFYZWNDY0RYQUJQTEZpcjRBc0tVcS1lV3k1ejI1b0Z4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2026-10-02T14:42:00Z</dcterms:created>
  <dc:creator>J. Borde</dc:creator>
</cp:coreProperties>
</file>