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Calibri" w:cs="Calibri" w:eastAsia="Calibri" w:hAnsi="Calibri"/>
          <w:color w:val="1f4e3c"/>
          <w:sz w:val="46"/>
          <w:szCs w:val="46"/>
        </w:rPr>
      </w:pPr>
      <w:r w:rsidDel="00000000" w:rsidR="00000000" w:rsidRPr="00000000">
        <w:rPr>
          <w:rFonts w:ascii="Calibri" w:cs="Calibri" w:eastAsia="Calibri" w:hAnsi="Calibri"/>
          <w:color w:val="1f4e3c"/>
          <w:sz w:val="46"/>
          <w:szCs w:val="46"/>
          <w:rtl w:val="0"/>
        </w:rPr>
        <w:t xml:space="preserve">Concept Note — Coupling G4M, PICUS with EnergyScope Finland</w:t>
      </w:r>
    </w:p>
    <w:p w:rsidR="00000000" w:rsidDel="00000000" w:rsidP="00000000" w:rsidRDefault="00000000" w:rsidRPr="00000000" w14:paraId="00000002">
      <w:pPr>
        <w:spacing w:after="160" w:lineRule="auto"/>
        <w:jc w:val="center"/>
        <w:rPr>
          <w:rFonts w:ascii="Calibri" w:cs="Calibri" w:eastAsia="Calibri" w:hAnsi="Calibri"/>
          <w:i w:val="1"/>
          <w:iCs w:val="1"/>
          <w:color w:val="505050"/>
          <w:sz w:val="26"/>
          <w:szCs w:val="26"/>
        </w:rPr>
      </w:pPr>
      <w:r w:rsidDel="00000000" w:rsidR="00000000" w:rsidRPr="00000000">
        <w:rPr>
          <w:rFonts w:ascii="Calibri" w:cs="Calibri" w:eastAsia="Calibri" w:hAnsi="Calibri"/>
          <w:i w:val="1"/>
          <w:iCs w:val="1"/>
          <w:color w:val="505050"/>
          <w:sz w:val="26"/>
          <w:szCs w:val="26"/>
          <w:rtl w:val="0"/>
        </w:rPr>
        <w:t xml:space="preserve">Forest-management and disturbance-driven biomass supply curves, and the forest carbon sink</w:t>
      </w:r>
    </w:p>
    <w:p w:rsidR="00000000" w:rsidDel="00000000" w:rsidP="00000000" w:rsidRDefault="00000000" w:rsidRPr="00000000" w14:paraId="00000003">
      <w:pPr>
        <w:spacing w:after="20" w:lineRule="auto"/>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Matthieu Bordenave</w:t>
      </w:r>
    </w:p>
    <w:p w:rsidR="00000000" w:rsidDel="00000000" w:rsidP="00000000" w:rsidRDefault="00000000" w:rsidRPr="00000000" w14:paraId="00000004">
      <w:pPr>
        <w:spacing w:after="20" w:lineRule="auto"/>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University of Pisa · IIASA · UCLouvain</w:t>
      </w:r>
    </w:p>
    <w:p w:rsidR="00000000" w:rsidDel="00000000" w:rsidP="00000000" w:rsidRDefault="00000000" w:rsidRPr="00000000" w14:paraId="00000005">
      <w:pPr>
        <w:spacing w:after="20" w:lineRule="auto"/>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Date: October 2026</w:t>
      </w:r>
    </w:p>
    <w:p w:rsidR="00000000" w:rsidDel="00000000" w:rsidP="00000000" w:rsidRDefault="00000000" w:rsidRPr="00000000" w14:paraId="00000006">
      <w:pPr>
        <w:spacing w:after="20" w:lineRule="auto"/>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Status: Draft for discussion with IIASA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before="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before="40" w:lineRule="auto"/>
        <w:rPr>
          <w:rFonts w:ascii="Calibri" w:cs="Calibri" w:eastAsia="Calibri" w:hAnsi="Calibri"/>
        </w:rPr>
      </w:pPr>
      <w:r w:rsidDel="00000000" w:rsidR="00000000" w:rsidRPr="00000000">
        <w:rPr>
          <w:rFonts w:ascii="Calibri" w:cs="Calibri" w:eastAsia="Calibri" w:hAnsi="Calibri"/>
          <w:rtl w:val="0"/>
        </w:rPr>
        <w:t xml:space="preserve">Colleagues: </w:t>
      </w:r>
      <w:hyperlink r:id="rId7">
        <w:r w:rsidDel="00000000" w:rsidR="00000000" w:rsidRPr="00000000">
          <w:rPr>
            <w:rFonts w:ascii="Calibri" w:cs="Calibri" w:eastAsia="Calibri" w:hAnsi="Calibri"/>
            <w:color w:val="1155cc"/>
            <w:u w:val="single"/>
            <w:rtl w:val="0"/>
          </w:rPr>
          <w:t xml:space="preserve">parke@iiasa.ac.at</w:t>
        </w:r>
      </w:hyperlink>
      <w:r w:rsidDel="00000000" w:rsidR="00000000" w:rsidRPr="00000000">
        <w:rPr>
          <w:rFonts w:ascii="Calibri" w:cs="Calibri" w:eastAsia="Calibri" w:hAnsi="Calibri"/>
          <w:rtl w:val="0"/>
        </w:rPr>
        <w:t xml:space="preserve"> , </w:t>
      </w:r>
      <w:hyperlink r:id="rId8">
        <w:r w:rsidDel="00000000" w:rsidR="00000000" w:rsidRPr="00000000">
          <w:rPr>
            <w:rFonts w:ascii="Calibri" w:cs="Calibri" w:eastAsia="Calibri" w:hAnsi="Calibri"/>
            <w:color w:val="1155cc"/>
            <w:u w:val="single"/>
            <w:rtl w:val="0"/>
          </w:rPr>
          <w:t xml:space="preserve">johnstone@iiasa.ac.at</w:t>
        </w:r>
      </w:hyperlink>
      <w:r w:rsidDel="00000000" w:rsidR="00000000" w:rsidRPr="00000000">
        <w:rPr>
          <w:rFonts w:ascii="Calibri" w:cs="Calibri" w:eastAsia="Calibri" w:hAnsi="Calibri"/>
          <w:rtl w:val="0"/>
        </w:rPr>
        <w:t xml:space="preserve"> , </w:t>
      </w:r>
      <w:hyperlink r:id="rId9">
        <w:r w:rsidDel="00000000" w:rsidR="00000000" w:rsidRPr="00000000">
          <w:rPr>
            <w:rFonts w:ascii="Calibri" w:cs="Calibri" w:eastAsia="Calibri" w:hAnsi="Calibri"/>
            <w:color w:val="1155cc"/>
            <w:u w:val="single"/>
            <w:rtl w:val="0"/>
          </w:rPr>
          <w:t xml:space="preserve">krasov@iiasa.ac.at</w:t>
        </w:r>
      </w:hyperlink>
      <w:r w:rsidDel="00000000" w:rsidR="00000000" w:rsidRPr="00000000">
        <w:rPr>
          <w:rFonts w:ascii="Calibri" w:cs="Calibri" w:eastAsia="Calibri" w:hAnsi="Calibri"/>
          <w:rtl w:val="0"/>
        </w:rPr>
        <w:t xml:space="preserve"> , </w:t>
      </w:r>
      <w:hyperlink r:id="rId10">
        <w:r w:rsidDel="00000000" w:rsidR="00000000" w:rsidRPr="00000000">
          <w:rPr>
            <w:rFonts w:ascii="Calibri" w:cs="Calibri" w:eastAsia="Calibri" w:hAnsi="Calibri"/>
            <w:color w:val="1155cc"/>
            <w:u w:val="single"/>
            <w:rtl w:val="0"/>
          </w:rPr>
          <w:t xml:space="preserve">tiwaris@iiasa.ac.at</w:t>
        </w:r>
      </w:hyperlink>
      <w:r w:rsidDel="00000000" w:rsidR="00000000" w:rsidRPr="00000000">
        <w:rPr>
          <w:rFonts w:ascii="Calibri" w:cs="Calibri" w:eastAsia="Calibri" w:hAnsi="Calibri"/>
          <w:rtl w:val="0"/>
        </w:rPr>
        <w:t xml:space="preserve"> , </w:t>
      </w:r>
      <w:hyperlink r:id="rId11">
        <w:r w:rsidDel="00000000" w:rsidR="00000000" w:rsidRPr="00000000">
          <w:rPr>
            <w:rFonts w:ascii="Calibri" w:cs="Calibri" w:eastAsia="Calibri" w:hAnsi="Calibri"/>
            <w:color w:val="1155cc"/>
            <w:u w:val="single"/>
            <w:rtl w:val="0"/>
          </w:rPr>
          <w:t xml:space="preserve">schipfer@iiasa.ac.at</w:t>
        </w:r>
      </w:hyperlink>
      <w:r w:rsidDel="00000000" w:rsidR="00000000" w:rsidRPr="00000000">
        <w:rPr>
          <w:rFonts w:ascii="Calibri" w:cs="Calibri" w:eastAsia="Calibri" w:hAnsi="Calibri"/>
          <w:rtl w:val="0"/>
        </w:rPr>
        <w:t xml:space="preserve"> , </w:t>
      </w:r>
      <w:hyperlink r:id="rId12">
        <w:r w:rsidDel="00000000" w:rsidR="00000000" w:rsidRPr="00000000">
          <w:rPr>
            <w:rFonts w:ascii="Calibri" w:cs="Calibri" w:eastAsia="Calibri" w:hAnsi="Calibri"/>
            <w:color w:val="1155cc"/>
            <w:u w:val="single"/>
            <w:rtl w:val="0"/>
          </w:rPr>
          <w:t xml:space="preserve">koyoungjin@iiasa.ac.at</w:t>
        </w:r>
      </w:hyperlink>
      <w:r w:rsidDel="00000000" w:rsidR="00000000" w:rsidRPr="00000000">
        <w:rPr>
          <w:rFonts w:ascii="Calibri" w:cs="Calibri" w:eastAsia="Calibri" w:hAnsi="Calibri"/>
          <w:rtl w:val="0"/>
        </w:rPr>
        <w:t xml:space="preserve"> , </w:t>
      </w:r>
      <w:hyperlink r:id="rId13">
        <w:r w:rsidDel="00000000" w:rsidR="00000000" w:rsidRPr="00000000">
          <w:rPr>
            <w:rFonts w:ascii="Calibri" w:cs="Calibri" w:eastAsia="Calibri" w:hAnsi="Calibri"/>
            <w:color w:val="1155cc"/>
            <w:u w:val="single"/>
            <w:rtl w:val="0"/>
          </w:rPr>
          <w:t xml:space="preserve">kraxner@iiasa.ac.at</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Purpose of this note. The original plan (April 2026) was to couple the ForestNavigator disturbance modules (FLAM, PICUS) to a Finnish stand-level forest simulator maintained by a partner team ("the FORTRAN model"). That coupling is now blocked because the partner team is no longer responsive. This note proposes an alternative that stays entirely within the IIASA toolchain: use the Global Forest Model (G4M), for which Finnish data already exist, to generate the forest-management and disturbance-driven biomass supply curves that feed EnergyScope Finland. It also proposes to close the single most important methodological gap in the current working paper,  notably the absence of the forest carbon sink,  and opens a path toward a European extension with the BeWhere model.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before="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pStyle w:val="Heading1"/>
        <w:keepNext w:val="0"/>
        <w:keepLines w:val="0"/>
        <w:spacing w:after="120" w:before="480" w:lineRule="auto"/>
        <w:rPr>
          <w:b w:val="0"/>
          <w:bCs w:val="0"/>
          <w:color w:val="000000"/>
          <w:sz w:val="46"/>
          <w:szCs w:val="46"/>
        </w:rPr>
      </w:pPr>
      <w:bookmarkStart w:colFirst="0" w:colLast="0" w:name="_heading=h.ljrd17r40ujn" w:id="0"/>
      <w:bookmarkEnd w:id="0"/>
      <w:r w:rsidDel="00000000" w:rsidR="00000000" w:rsidRPr="00000000">
        <w:rPr>
          <w:b w:val="0"/>
          <w:bCs w:val="0"/>
          <w:color w:val="000000"/>
          <w:sz w:val="46"/>
          <w:szCs w:val="46"/>
          <w:rtl w:val="0"/>
        </w:rPr>
        <w:t xml:space="preserve">1. Context and motivation</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Forest biomass supplies roughly a quarter of Finland's primary energy and is the main domestic lever for deep decarbonisation. But its availability shaped by forest management choices, competing industrial uses (pulp, paper, sawnwood), ecological constraints on residue and deadwood retention, and  increasingly  by natural disturbances amplified by climate change (bark beetle, windstorm, wildfire).</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Most whole-energy-system models treat wood as a single, homogeneous, unconstrained resource. Colla et al. (2022) showed for Belgium that representing biomass instead as a multi-step marginal-cost supply curve materially changes its optimal allocation, especially under deep decarbonisation. The first working paper of this project applied and extended that idea to Finland, a structurally richer and more policy-contested case, and is now essentially complete (Section 2).</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The logical next step is to make the supply curves endogenous to forest dynamics rather than read from a static database, so that (i) management intensity and (ii) physical disturbance shocks propagate into the energy system through both the quantity/cost of wood and the forest carbon balance. G4M, its PICUS extensions, and relevant literature should be well suited to provide these outputs for Finland.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before="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0">
      <w:pPr>
        <w:pStyle w:val="Heading1"/>
        <w:keepNext w:val="0"/>
        <w:keepLines w:val="0"/>
        <w:spacing w:after="120" w:before="480" w:lineRule="auto"/>
        <w:rPr>
          <w:b w:val="0"/>
          <w:bCs w:val="0"/>
          <w:color w:val="000000"/>
          <w:sz w:val="46"/>
          <w:szCs w:val="46"/>
        </w:rPr>
      </w:pPr>
      <w:bookmarkStart w:colFirst="0" w:colLast="0" w:name="_heading=h.m5v4fcmf1efz" w:id="1"/>
      <w:bookmarkEnd w:id="1"/>
      <w:r w:rsidDel="00000000" w:rsidR="00000000" w:rsidRPr="00000000">
        <w:rPr>
          <w:b w:val="0"/>
          <w:bCs w:val="0"/>
          <w:color w:val="000000"/>
          <w:sz w:val="46"/>
          <w:szCs w:val="46"/>
          <w:rtl w:val="0"/>
        </w:rPr>
        <w:t xml:space="preserve">2. State of the working paper (what is already done in the working paper)</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The first paper — </w:t>
      </w:r>
      <w:r w:rsidDel="00000000" w:rsidR="00000000" w:rsidRPr="00000000">
        <w:rPr>
          <w:rFonts w:ascii="Calibri" w:cs="Calibri" w:eastAsia="Calibri" w:hAnsi="Calibri"/>
          <w:i w:val="1"/>
          <w:iCs w:val="1"/>
          <w:rtl w:val="0"/>
        </w:rPr>
        <w:t xml:space="preserve">From Bioeconomy Promise to Biodiversity Ceiling: The Role of Forest Biomass in Finnish Decarbonisation</w:t>
      </w:r>
      <w:r w:rsidDel="00000000" w:rsidR="00000000" w:rsidRPr="00000000">
        <w:rPr>
          <w:rFonts w:ascii="Calibri" w:cs="Calibri" w:eastAsia="Calibri" w:hAnsi="Calibri"/>
          <w:rtl w:val="0"/>
        </w:rPr>
        <w:t xml:space="preserve">— is built and its results should be read as stylized. In short:</w:t>
      </w:r>
    </w:p>
    <w:p w:rsidR="00000000" w:rsidDel="00000000" w:rsidP="00000000" w:rsidRDefault="00000000" w:rsidRPr="00000000" w14:paraId="00000012">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Calibrated 2017 baseline. EnergyScope Finland reproduces the 2017 national energy balance to a weighted error of ~1.2% across 14 scored indicators (primary energy, electricity mix, CO₂ within 0.1%).</w:t>
      </w:r>
    </w:p>
    <w:p w:rsidR="00000000" w:rsidDel="00000000" w:rsidP="00000000" w:rsidRDefault="00000000" w:rsidRPr="00000000" w14:paraId="00000013">
      <w:pPr>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Stepwise Finnish wood supply curves (2035). The single </w:t>
      </w:r>
      <w:r w:rsidDel="00000000" w:rsidR="00000000" w:rsidRPr="00000000">
        <w:rPr>
          <w:rFonts w:ascii="Calibri" w:cs="Calibri" w:eastAsia="Calibri" w:hAnsi="Calibri"/>
          <w:sz w:val="18"/>
          <w:szCs w:val="18"/>
          <w:rtl w:val="0"/>
        </w:rPr>
        <w:t xml:space="preserve">WOOD</w:t>
      </w:r>
      <w:r w:rsidDel="00000000" w:rsidR="00000000" w:rsidRPr="00000000">
        <w:rPr>
          <w:rFonts w:ascii="Calibri" w:cs="Calibri" w:eastAsia="Calibri" w:hAnsi="Calibri"/>
          <w:rtl w:val="0"/>
        </w:rPr>
        <w:t xml:space="preserve"> resource is replaced by four domestic steps plus an import backstop, dispatched in merit order:</w:t>
      </w:r>
    </w:p>
    <w:tbl>
      <w:tblPr>
        <w:tblStyle w:val="Table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3375"/>
        <w:gridCol w:w="3345"/>
        <w:tblGridChange w:id="0">
          <w:tblGrid>
            <w:gridCol w:w="3345"/>
            <w:gridCol w:w="3375"/>
            <w:gridCol w:w="334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9f0ea" w:val="clear"/>
            <w:tcMar>
              <w:top w:w="0.0" w:type="dxa"/>
              <w:left w:w="100.0" w:type="dxa"/>
              <w:bottom w:w="0.0" w:type="dxa"/>
              <w:right w:w="100.0" w:type="dxa"/>
            </w:tcMar>
            <w:vAlign w:val="top"/>
          </w:tcPr>
          <w:p w:rsidR="00000000" w:rsidDel="00000000" w:rsidP="00000000" w:rsidRDefault="00000000" w:rsidRPr="00000000" w14:paraId="00000014">
            <w:pPr>
              <w:spacing w:after="20" w:lineRule="auto"/>
              <w:rPr>
                <w:rFonts w:ascii="Calibri" w:cs="Calibri" w:eastAsia="Calibri" w:hAnsi="Calibri"/>
              </w:rPr>
            </w:pPr>
            <w:r w:rsidDel="00000000" w:rsidR="00000000" w:rsidRPr="00000000">
              <w:rPr>
                <w:rFonts w:ascii="Calibri" w:cs="Calibri" w:eastAsia="Calibri" w:hAnsi="Calibri"/>
                <w:rtl w:val="0"/>
              </w:rPr>
              <w:t xml:space="preserve">Step</w:t>
            </w:r>
          </w:p>
        </w:tc>
        <w:tc>
          <w:tcPr>
            <w:tcBorders>
              <w:top w:color="000000" w:space="0" w:sz="6" w:val="single"/>
              <w:left w:color="000000" w:space="0" w:sz="0" w:val="nil"/>
              <w:bottom w:color="000000" w:space="0" w:sz="6" w:val="single"/>
              <w:right w:color="000000" w:space="0" w:sz="6" w:val="single"/>
            </w:tcBorders>
            <w:shd w:fill="e9f0ea" w:val="clear"/>
            <w:tcMar>
              <w:top w:w="0.0" w:type="dxa"/>
              <w:left w:w="100.0" w:type="dxa"/>
              <w:bottom w:w="0.0" w:type="dxa"/>
              <w:right w:w="100.0" w:type="dxa"/>
            </w:tcMar>
            <w:vAlign w:val="top"/>
          </w:tcPr>
          <w:p w:rsidR="00000000" w:rsidDel="00000000" w:rsidP="00000000" w:rsidRDefault="00000000" w:rsidRPr="00000000" w14:paraId="00000015">
            <w:pPr>
              <w:spacing w:after="20" w:lineRule="auto"/>
              <w:rPr>
                <w:rFonts w:ascii="Calibri" w:cs="Calibri" w:eastAsia="Calibri" w:hAnsi="Calibri"/>
              </w:rPr>
            </w:pPr>
            <w:r w:rsidDel="00000000" w:rsidR="00000000" w:rsidRPr="00000000">
              <w:rPr>
                <w:rFonts w:ascii="Calibri" w:cs="Calibri" w:eastAsia="Calibri" w:hAnsi="Calibri"/>
                <w:rtl w:val="0"/>
              </w:rPr>
              <w:t xml:space="preserve">Interpretation</w:t>
            </w:r>
          </w:p>
        </w:tc>
        <w:tc>
          <w:tcPr>
            <w:tcBorders>
              <w:top w:color="000000" w:space="0" w:sz="6" w:val="single"/>
              <w:left w:color="000000" w:space="0" w:sz="0" w:val="nil"/>
              <w:bottom w:color="000000" w:space="0" w:sz="6" w:val="single"/>
              <w:right w:color="000000" w:space="0" w:sz="6" w:val="single"/>
            </w:tcBorders>
            <w:shd w:fill="e9f0ea" w:val="clear"/>
            <w:tcMar>
              <w:top w:w="0.0" w:type="dxa"/>
              <w:left w:w="100.0" w:type="dxa"/>
              <w:bottom w:w="0.0" w:type="dxa"/>
              <w:right w:w="100.0" w:type="dxa"/>
            </w:tcMar>
            <w:vAlign w:val="top"/>
          </w:tcPr>
          <w:p w:rsidR="00000000" w:rsidDel="00000000" w:rsidP="00000000" w:rsidRDefault="00000000" w:rsidRPr="00000000" w14:paraId="00000016">
            <w:pPr>
              <w:spacing w:after="20" w:lineRule="auto"/>
              <w:rPr>
                <w:rFonts w:ascii="Calibri" w:cs="Calibri" w:eastAsia="Calibri" w:hAnsi="Calibri"/>
              </w:rPr>
            </w:pPr>
            <w:r w:rsidDel="00000000" w:rsidR="00000000" w:rsidRPr="00000000">
              <w:rPr>
                <w:rFonts w:ascii="Calibri" w:cs="Calibri" w:eastAsia="Calibri" w:hAnsi="Calibri"/>
                <w:rtl w:val="0"/>
              </w:rPr>
              <w:t xml:space="preserve">Marginal cost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2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WOOD_FI1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20" w:lineRule="auto"/>
              <w:rPr>
                <w:rFonts w:ascii="Calibri" w:cs="Calibri" w:eastAsia="Calibri" w:hAnsi="Calibri"/>
              </w:rPr>
            </w:pPr>
            <w:r w:rsidDel="00000000" w:rsidR="00000000" w:rsidRPr="00000000">
              <w:rPr>
                <w:rFonts w:ascii="Calibri" w:cs="Calibri" w:eastAsia="Calibri" w:hAnsi="Calibri"/>
                <w:rtl w:val="0"/>
              </w:rPr>
              <w:t xml:space="preserve">industrial by-products (black liquor, bark, sawdust)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20" w:lineRule="auto"/>
              <w:rPr>
                <w:rFonts w:ascii="Calibri" w:cs="Calibri" w:eastAsia="Calibri" w:hAnsi="Calibri"/>
              </w:rPr>
            </w:pPr>
            <w:r w:rsidDel="00000000" w:rsidR="00000000" w:rsidRPr="00000000">
              <w:rPr>
                <w:rFonts w:ascii="Calibri" w:cs="Calibri" w:eastAsia="Calibri" w:hAnsi="Calibri"/>
                <w:rtl w:val="0"/>
              </w:rPr>
              <w:t xml:space="preserve">11 €/MWh</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2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WOOD_FI2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20" w:lineRule="auto"/>
              <w:rPr>
                <w:rFonts w:ascii="Calibri" w:cs="Calibri" w:eastAsia="Calibri" w:hAnsi="Calibri"/>
              </w:rPr>
            </w:pPr>
            <w:r w:rsidDel="00000000" w:rsidR="00000000" w:rsidRPr="00000000">
              <w:rPr>
                <w:rFonts w:ascii="Calibri" w:cs="Calibri" w:eastAsia="Calibri" w:hAnsi="Calibri"/>
                <w:rtl w:val="0"/>
              </w:rPr>
              <w:t xml:space="preserve">logging residues (branches, tops)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20" w:lineRule="auto"/>
              <w:rPr>
                <w:rFonts w:ascii="Calibri" w:cs="Calibri" w:eastAsia="Calibri" w:hAnsi="Calibri"/>
              </w:rPr>
            </w:pPr>
            <w:r w:rsidDel="00000000" w:rsidR="00000000" w:rsidRPr="00000000">
              <w:rPr>
                <w:rFonts w:ascii="Calibri" w:cs="Calibri" w:eastAsia="Calibri" w:hAnsi="Calibri"/>
                <w:rtl w:val="0"/>
              </w:rPr>
              <w:t xml:space="preserve">22 €/MWh (26 in S3)</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2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WOOD_FI3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20" w:lineRule="auto"/>
              <w:rPr>
                <w:rFonts w:ascii="Calibri" w:cs="Calibri" w:eastAsia="Calibri" w:hAnsi="Calibri"/>
              </w:rPr>
            </w:pPr>
            <w:r w:rsidDel="00000000" w:rsidR="00000000" w:rsidRPr="00000000">
              <w:rPr>
                <w:rFonts w:ascii="Calibri" w:cs="Calibri" w:eastAsia="Calibri" w:hAnsi="Calibri"/>
                <w:rtl w:val="0"/>
              </w:rPr>
              <w:t xml:space="preserve">secondary woodchips / sawdust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20" w:lineRule="auto"/>
              <w:rPr>
                <w:rFonts w:ascii="Calibri" w:cs="Calibri" w:eastAsia="Calibri" w:hAnsi="Calibri"/>
              </w:rPr>
            </w:pPr>
            <w:r w:rsidDel="00000000" w:rsidR="00000000" w:rsidRPr="00000000">
              <w:rPr>
                <w:rFonts w:ascii="Calibri" w:cs="Calibri" w:eastAsia="Calibri" w:hAnsi="Calibri"/>
                <w:rtl w:val="0"/>
              </w:rPr>
              <w:t xml:space="preserve">27 €/MWh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2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WOOD_FI4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20" w:lineRule="auto"/>
              <w:rPr>
                <w:rFonts w:ascii="Calibri" w:cs="Calibri" w:eastAsia="Calibri" w:hAnsi="Calibri"/>
              </w:rPr>
            </w:pPr>
            <w:r w:rsidDel="00000000" w:rsidR="00000000" w:rsidRPr="00000000">
              <w:rPr>
                <w:rFonts w:ascii="Calibri" w:cs="Calibri" w:eastAsia="Calibri" w:hAnsi="Calibri"/>
                <w:rtl w:val="0"/>
              </w:rPr>
              <w:t xml:space="preserve">direct fuelwood + landscape-care wood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20" w:lineRule="auto"/>
              <w:rPr>
                <w:rFonts w:ascii="Calibri" w:cs="Calibri" w:eastAsia="Calibri" w:hAnsi="Calibri"/>
              </w:rPr>
            </w:pPr>
            <w:r w:rsidDel="00000000" w:rsidR="00000000" w:rsidRPr="00000000">
              <w:rPr>
                <w:rFonts w:ascii="Calibri" w:cs="Calibri" w:eastAsia="Calibri" w:hAnsi="Calibri"/>
                <w:rtl w:val="0"/>
              </w:rPr>
              <w:t xml:space="preserve">33 €/MWh</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2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WOOD_FI5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20" w:lineRule="auto"/>
              <w:rPr>
                <w:rFonts w:ascii="Calibri" w:cs="Calibri" w:eastAsia="Calibri" w:hAnsi="Calibri"/>
              </w:rPr>
            </w:pPr>
            <w:r w:rsidDel="00000000" w:rsidR="00000000" w:rsidRPr="00000000">
              <w:rPr>
                <w:rFonts w:ascii="Calibri" w:cs="Calibri" w:eastAsia="Calibri" w:hAnsi="Calibri"/>
                <w:rtl w:val="0"/>
              </w:rPr>
              <w:t xml:space="preserve">Baltic/Nordic import backstop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20" w:lineRule="auto"/>
              <w:rPr>
                <w:rFonts w:ascii="Calibri" w:cs="Calibri" w:eastAsia="Calibri" w:hAnsi="Calibri"/>
              </w:rPr>
            </w:pPr>
            <w:r w:rsidDel="00000000" w:rsidR="00000000" w:rsidRPr="00000000">
              <w:rPr>
                <w:rFonts w:ascii="Calibri" w:cs="Calibri" w:eastAsia="Calibri" w:hAnsi="Calibri"/>
                <w:rtl w:val="0"/>
              </w:rPr>
              <w:t xml:space="preserve">70 €/MWh</w:t>
            </w:r>
          </w:p>
        </w:tc>
      </w:tr>
    </w:tbl>
    <w:p w:rsidR="00000000" w:rsidDel="00000000" w:rsidP="00000000" w:rsidRDefault="00000000" w:rsidRPr="00000000" w14:paraId="00000026">
      <w:pPr>
        <w:spacing w:after="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7">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Three forest-management scenarios, mapped from the Finnish policy literature (Blattert et al. 2022) and the ecological harvest ceiling (Mönkkönen et al. 2024), and parameterised from the EC/JRC ENSPRESO biomass database:</w:t>
      </w:r>
    </w:p>
    <w:p w:rsidR="00000000" w:rsidDel="00000000" w:rsidP="00000000" w:rsidRDefault="00000000" w:rsidRPr="00000000" w14:paraId="00000028">
      <w:pPr>
        <w:spacing w:after="0" w:lineRule="auto"/>
        <w:ind w:left="72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S1 / BES (Bioeconomy) — stylised high-mobilisation case, ~122 TWh domestic wood;</w:t>
      </w:r>
    </w:p>
    <w:p w:rsidR="00000000" w:rsidDel="00000000" w:rsidP="00000000" w:rsidRDefault="00000000" w:rsidRPr="00000000" w14:paraId="00000029">
      <w:pPr>
        <w:spacing w:after="0" w:lineRule="auto"/>
        <w:ind w:left="72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S2 / NFS (National Forest Strategy) — ENSPRESO-medium baseline, ~102 TWh;</w:t>
      </w:r>
    </w:p>
    <w:p w:rsidR="00000000" w:rsidDel="00000000" w:rsidP="00000000" w:rsidRDefault="00000000" w:rsidRPr="00000000" w14:paraId="0000002A">
      <w:pPr>
        <w:spacing w:after="0" w:lineRule="auto"/>
        <w:ind w:left="72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S3 / BDS (Biodiversity) — conservative ceiling revised down to ~40 TWh after a three-way audit against LUKE 2024 observed use, the Mönkkönen ecological ceiling, and competing industrial roundwood demand.</w:t>
      </w:r>
    </w:p>
    <w:p w:rsidR="00000000" w:rsidDel="00000000" w:rsidP="00000000" w:rsidRDefault="00000000" w:rsidRPr="00000000" w14:paraId="0000002B">
      <w:pPr>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Completed 3 × 3 scenario matrix: {S1, S2, S3} × {unconstrained, −95% GHG with nuclear, −95% GHG no-nuclear}. Headline findings: the 2035 system is already ~70% below 2017 even unconstrained; under −95% the conservation scenario (S3) saturates its wood ceiling and becomes the most expensive configuration; removing nuclear sharply raises the value of biomass in S1/S2 but S3 cannot expand.</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CAVEAT:</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i w:val="1"/>
          <w:iCs w:val="1"/>
          <w:rtl w:val="0"/>
        </w:rPr>
        <w:t xml:space="preserve">Grounded:</w:t>
      </w:r>
      <w:r w:rsidDel="00000000" w:rsidR="00000000" w:rsidRPr="00000000">
        <w:rPr>
          <w:rFonts w:ascii="Calibri" w:cs="Calibri" w:eastAsia="Calibri" w:hAnsi="Calibri"/>
          <w:rtl w:val="0"/>
        </w:rPr>
        <w:t xml:space="preserve"> the ENSPRESO→scenario mapping, the cost/GHG parameters follow Colla (2022) and RED II Annex VI, and the S1 (+20%) and S3 (40 TWh) values are explicitly flagged as stylised/revised rather than raw ENSPRESO.</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i w:val="1"/>
          <w:iCs w:val="1"/>
          <w:rtl w:val="0"/>
        </w:rPr>
        <w:t xml:space="preserve">Caveat (static &amp; exogenous):</w:t>
      </w:r>
      <w:r w:rsidDel="00000000" w:rsidR="00000000" w:rsidRPr="00000000">
        <w:rPr>
          <w:rFonts w:ascii="Calibri" w:cs="Calibri" w:eastAsia="Calibri" w:hAnsi="Calibri"/>
          <w:rtl w:val="0"/>
        </w:rPr>
        <w:t xml:space="preserve"> the curves are read from ENSPRESO potentials, and published papers, not directly from a forest model. Scenarios differ only in availability and cost, with no forest growth dynamics, age structure, or disturbances, they are adaptation of existing papers (Blattert and Mönkkönen).</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3. Other Gap : the forest carbon sink is absent. The binding climate constraint in the model (</w:t>
      </w:r>
      <w:r w:rsidDel="00000000" w:rsidR="00000000" w:rsidRPr="00000000">
        <w:rPr>
          <w:rFonts w:ascii="Calibri" w:cs="Calibri" w:eastAsia="Calibri" w:hAnsi="Calibri"/>
          <w:sz w:val="18"/>
          <w:szCs w:val="18"/>
          <w:rtl w:val="0"/>
        </w:rPr>
        <w:t xml:space="preserve">ESMC_model_AMPL.mod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8"/>
          <w:szCs w:val="18"/>
          <w:rtl w:val="0"/>
        </w:rPr>
        <w:t xml:space="preserve">Minimum_GWP_reduction</w:t>
      </w:r>
      <w:r w:rsidDel="00000000" w:rsidR="00000000" w:rsidRPr="00000000">
        <w:rPr>
          <w:rFonts w:ascii="Calibri" w:cs="Calibri" w:eastAsia="Calibri" w:hAnsi="Calibri"/>
          <w:rtl w:val="0"/>
        </w:rPr>
        <w:t xml:space="preserve">) is</w:t>
      </w:r>
    </w:p>
    <w:p w:rsidR="00000000" w:rsidDel="00000000" w:rsidP="00000000" w:rsidRDefault="00000000" w:rsidRPr="00000000" w14:paraId="00000030">
      <w:pPr>
        <w:shd w:fill="f4f4f4" w:val="clear"/>
        <w:spacing w:after="120" w:before="80" w:line="276" w:lineRule="auto"/>
        <w:ind w:left="200" w:right="200" w:firstLine="0"/>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Σ[r ∈ RESOURCES] CO₂_net[r] ≤ gwp_limit,</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i.e. energy-system combustion emissions only. The energy model take into account the different embedded emission of each wood categories (downstream process emission) but biomass combustion is modelled as carbon-neutral by assumption, and there is no term for the forest sink. Consequently the current model sees the climate difference between intensive (S1) and conservation (S3) harvest </w:t>
      </w:r>
      <w:r w:rsidDel="00000000" w:rsidR="00000000" w:rsidRPr="00000000">
        <w:rPr>
          <w:rFonts w:ascii="Calibri" w:cs="Calibri" w:eastAsia="Calibri" w:hAnsi="Calibri"/>
          <w:i w:val="1"/>
          <w:iCs w:val="1"/>
          <w:rtl w:val="0"/>
        </w:rPr>
        <w:t xml:space="preserve">only</w:t>
      </w:r>
      <w:r w:rsidDel="00000000" w:rsidR="00000000" w:rsidRPr="00000000">
        <w:rPr>
          <w:rFonts w:ascii="Calibri" w:cs="Calibri" w:eastAsia="Calibri" w:hAnsi="Calibri"/>
          <w:rtl w:val="0"/>
        </w:rPr>
        <w:t xml:space="preserve"> through supply-chain GHG — it cannot represent the dominant climate effect of harvest intensity, namely that lower harvest raises standing stock and the sink, while intensive harvest depletes it. Finnish and EU literature treat this asymmetry as first-order (e.g. Blattert's per-scenario sinks: NFS ≈ 80, BES ≈ 28 MtCO₂ yr⁻¹; BDS largest). I would suggest that closing this gap is the core scientific motivation for the next phase.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before="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3">
      <w:pPr>
        <w:pStyle w:val="Heading1"/>
        <w:keepNext w:val="0"/>
        <w:keepLines w:val="0"/>
        <w:spacing w:after="120" w:before="480" w:lineRule="auto"/>
        <w:rPr>
          <w:b w:val="0"/>
          <w:bCs w:val="0"/>
          <w:color w:val="000000"/>
          <w:sz w:val="46"/>
          <w:szCs w:val="46"/>
        </w:rPr>
      </w:pPr>
      <w:bookmarkStart w:colFirst="0" w:colLast="0" w:name="_heading=h.4i9cdcmcchah" w:id="2"/>
      <w:bookmarkEnd w:id="2"/>
      <w:r w:rsidDel="00000000" w:rsidR="00000000" w:rsidRPr="00000000">
        <w:rPr>
          <w:b w:val="0"/>
          <w:bCs w:val="0"/>
          <w:color w:val="000000"/>
          <w:sz w:val="46"/>
          <w:szCs w:val="46"/>
          <w:rtl w:val="0"/>
        </w:rPr>
        <w:t xml:space="preserve">3. Research questions</w:t>
      </w:r>
    </w:p>
    <w:p w:rsidR="00000000" w:rsidDel="00000000" w:rsidP="00000000" w:rsidRDefault="00000000" w:rsidRPr="00000000" w14:paraId="00000034">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RQ1 — Management. How do contrasting forest-management regimes reshape the </w:t>
      </w:r>
      <w:r w:rsidDel="00000000" w:rsidR="00000000" w:rsidRPr="00000000">
        <w:rPr>
          <w:rFonts w:ascii="Calibri" w:cs="Calibri" w:eastAsia="Calibri" w:hAnsi="Calibri"/>
          <w:i w:val="1"/>
          <w:iCs w:val="1"/>
          <w:rtl w:val="0"/>
        </w:rPr>
        <w:t xml:space="preserve">dynamic</w:t>
      </w:r>
      <w:r w:rsidDel="00000000" w:rsidR="00000000" w:rsidRPr="00000000">
        <w:rPr>
          <w:rFonts w:ascii="Calibri" w:cs="Calibri" w:eastAsia="Calibri" w:hAnsi="Calibri"/>
          <w:rtl w:val="0"/>
        </w:rPr>
        <w:t xml:space="preserve"> Finnish wood supply curve (quantity, quality, marginal cost, 2025–2060), when derived from a forest model (G4M) rather than a static potential database?</w:t>
      </w:r>
    </w:p>
    <w:p w:rsidR="00000000" w:rsidDel="00000000" w:rsidP="00000000" w:rsidRDefault="00000000" w:rsidRPr="00000000" w14:paraId="00000035">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RQ2 — Sink coupling. When the forest carbon balance (sink/source and HWP) is added to the national GHG budget, how does the optimal energy mix and the cost of deep decarbonisation change across management scenarios — and does the ranking of S1/S2/S3 on climate grounds change?</w:t>
      </w:r>
    </w:p>
    <w:p w:rsidR="00000000" w:rsidDel="00000000" w:rsidP="00000000" w:rsidRDefault="00000000" w:rsidRPr="00000000" w14:paraId="00000036">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RQ3 — Shocks. How does a compound physical disturbance (windstorm → bark-beetle, with wildfire sensitivity) propagate into the energy system, through a short calamity-wood pulse, a temporary price depression, a multi-year supply deficit, and a sink loss, and does it create stranded biomass-conversion assets or delay the transition?</w:t>
      </w:r>
    </w:p>
    <w:p w:rsidR="00000000" w:rsidDel="00000000" w:rsidP="00000000" w:rsidRDefault="00000000" w:rsidRPr="00000000" w14:paraId="00000037">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RQ4 — Policy framing. If the "neutral" baseline is replaced by a sink-maximising / LULUCF net-zero scenario, what does economy-wide net-zero (energy + land) imply for the energy system, versus energy-only net-zero?</w:t>
      </w:r>
    </w:p>
    <w:p w:rsidR="00000000" w:rsidDel="00000000" w:rsidP="00000000" w:rsidRDefault="00000000" w:rsidRPr="00000000" w14:paraId="00000038">
      <w:pPr>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RQ5 — Scaling. Can the same supply-curve representation be scaled to Europe and to competing end-uses (construction/HWP) with BeWhere, to study cross-sectoral biomass allocation?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20" w:before="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A">
      <w:pPr>
        <w:pStyle w:val="Heading1"/>
        <w:keepNext w:val="0"/>
        <w:keepLines w:val="0"/>
        <w:spacing w:after="120" w:before="480" w:lineRule="auto"/>
        <w:rPr>
          <w:b w:val="0"/>
          <w:bCs w:val="0"/>
          <w:color w:val="000000"/>
          <w:sz w:val="46"/>
          <w:szCs w:val="46"/>
        </w:rPr>
      </w:pPr>
      <w:bookmarkStart w:colFirst="0" w:colLast="0" w:name="_heading=h.c8tiqcg4q7au" w:id="3"/>
      <w:bookmarkEnd w:id="3"/>
      <w:r w:rsidDel="00000000" w:rsidR="00000000" w:rsidRPr="00000000">
        <w:rPr>
          <w:b w:val="0"/>
          <w:bCs w:val="0"/>
          <w:color w:val="000000"/>
          <w:sz w:val="46"/>
          <w:szCs w:val="46"/>
          <w:rtl w:val="0"/>
        </w:rPr>
        <w:t xml:space="preserve">4. State of knowledge / existing literature</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Supply-curve representation of biomass. Colla et al. (2022), origin- and quality-differentiated wood supply steps in a whole-energy-system model; basis of the present approach.</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Finnish forest policy and ecological ceilings. Blattert et al. (2022, </w:t>
      </w:r>
      <w:r w:rsidDel="00000000" w:rsidR="00000000" w:rsidRPr="00000000">
        <w:rPr>
          <w:rFonts w:ascii="Calibri" w:cs="Calibri" w:eastAsia="Calibri" w:hAnsi="Calibri"/>
          <w:i w:val="1"/>
          <w:iCs w:val="1"/>
          <w:rtl w:val="0"/>
        </w:rPr>
        <w:t xml:space="preserve">Forest Policy and Economics</w:t>
      </w:r>
      <w:r w:rsidDel="00000000" w:rsidR="00000000" w:rsidRPr="00000000">
        <w:rPr>
          <w:rFonts w:ascii="Calibri" w:cs="Calibri" w:eastAsia="Calibri" w:hAnsi="Calibri"/>
          <w:rtl w:val="0"/>
        </w:rPr>
        <w:t xml:space="preserve">) translate three national strategies (BES/NFS/BDS) into quantitative management scenarios with explicit roundwood, bioenergy, deadwood, set-aside and carbon-sink targets. Mönkkönen et al. (2024) define the ecologically safe harvest ceiling (~58–60% of maximum sustainable for Southern Finland). These anchor the S1/S2/S3 narratives and provide independent per-scenario sink estimates.</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Forest carbon sink, HWP and substitution. A large literature shows that the sink reduction from increased harvest often exceeds, in the short-to- medium term, the fossil substitution benefit of using the wood, an asymmetry that energy-only model cannot currently represent. Motivates RQ2/RQ4.</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Physical disturbances and timber markets.  Disturbances now drive ~16% of European harvest (Patacca et al. 2023), depress prices 20–70%, and raise salvage costs 10–64% (Kärhä et al. 2018, Finland); the Czech bark-beetle calamity (Hlásny et al. 2021) is a reference compound-shock case. Finland's direct impacts are so far limited but its vulnerability is rising (Venäläinen et al. 2020).</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IIASA forest and bioenergy models</w:t>
      </w:r>
    </w:p>
    <w:p w:rsidR="00000000" w:rsidDel="00000000" w:rsidP="00000000" w:rsidRDefault="00000000" w:rsidRPr="00000000" w14:paraId="00000040">
      <w:pPr>
        <w:spacing w:after="0" w:lineRule="auto"/>
        <w:ind w:left="360" w:firstLine="0"/>
        <w:rPr>
          <w:rFonts w:ascii="Calibri" w:cs="Calibri" w:eastAsia="Calibri" w:hAnsi="Calibri"/>
          <w:i w:val="1"/>
          <w:iCs w:val="1"/>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G4M (Global Forest Model) — IIASA's geographically explicit forest model (Kindermann et al. 2008; Gusti 2010; Lauri, Forsell, di Fulvio et al.). It decides afforestation/deforestation and optimises management (rotation, thinning, species, harvest intensity) from wood prices and costs, and reports harvestable wood by assortment (sawlogs, pulpwood, residues, fuelwood) and the full carbon account (living biomass, deadwood, soil, HWP) and net LULUCF CO₂ flux. It is the forest module in ForestNavigator and is routinely run for Finland within pan-European setups. </w:t>
      </w:r>
      <w:r w:rsidDel="00000000" w:rsidR="00000000" w:rsidRPr="00000000">
        <w:rPr>
          <w:rFonts w:ascii="Calibri" w:cs="Calibri" w:eastAsia="Calibri" w:hAnsi="Calibri"/>
          <w:i w:val="1"/>
          <w:iCs w:val="1"/>
          <w:rtl w:val="0"/>
        </w:rPr>
        <w:t xml:space="preserve">(Exact Finnish resolution and I/O to be confirmed with the IIASA G4M team.)</w:t>
      </w:r>
    </w:p>
    <w:p w:rsidR="00000000" w:rsidDel="00000000" w:rsidP="00000000" w:rsidRDefault="00000000" w:rsidRPr="00000000" w14:paraId="00000041">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Disturbance modules — ForestNavigator D3.4 (Krasovskiy et al. 2025) assess disturbance impacts on forest mitigation potential (FLAM for wildfire; bark-beetle and wind modules). We propose to use G4M's disturbance-aware outputs for Finland rather than re-implementing a stand-level coupling.</w:t>
      </w:r>
    </w:p>
    <w:p w:rsidR="00000000" w:rsidDel="00000000" w:rsidP="00000000" w:rsidRDefault="00000000" w:rsidRPr="00000000" w14:paraId="00000042">
      <w:pPr>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BeWhere — IIASA's spatially explicit techno-economic optimisation (MILP) for biomass supply chains and plant siting, extended to forest-industry/construction uses (Leduc, Kraxner, Schipfer et al.). Candidate tool for the European, cross-sectoral extension (RQ5).</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before="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4">
      <w:pPr>
        <w:pStyle w:val="Heading1"/>
        <w:keepNext w:val="0"/>
        <w:keepLines w:val="0"/>
        <w:spacing w:after="120" w:before="480" w:lineRule="auto"/>
        <w:rPr>
          <w:b w:val="0"/>
          <w:bCs w:val="0"/>
          <w:color w:val="000000"/>
          <w:sz w:val="46"/>
          <w:szCs w:val="46"/>
        </w:rPr>
      </w:pPr>
      <w:bookmarkStart w:colFirst="0" w:colLast="0" w:name="_heading=h.m4dbsmey59it" w:id="4"/>
      <w:bookmarkEnd w:id="4"/>
      <w:r w:rsidDel="00000000" w:rsidR="00000000" w:rsidRPr="00000000">
        <w:rPr>
          <w:b w:val="0"/>
          <w:bCs w:val="0"/>
          <w:color w:val="000000"/>
          <w:sz w:val="46"/>
          <w:szCs w:val="46"/>
          <w:rtl w:val="0"/>
        </w:rPr>
        <w:t xml:space="preserve">5. Methodology — possibilities</w:t>
      </w:r>
    </w:p>
    <w:p w:rsidR="00000000" w:rsidDel="00000000" w:rsidP="00000000" w:rsidRDefault="00000000" w:rsidRPr="00000000" w14:paraId="00000045">
      <w:pPr>
        <w:pStyle w:val="Heading3"/>
        <w:keepNext w:val="0"/>
        <w:keepLines w:val="0"/>
        <w:spacing w:before="280" w:lineRule="auto"/>
        <w:rPr>
          <w:b w:val="0"/>
          <w:bCs w:val="0"/>
          <w:color w:val="000000"/>
          <w:sz w:val="26"/>
          <w:szCs w:val="26"/>
        </w:rPr>
      </w:pPr>
      <w:bookmarkStart w:colFirst="0" w:colLast="0" w:name="_heading=h.knd58idcrr0m" w:id="5"/>
      <w:bookmarkEnd w:id="5"/>
      <w:r w:rsidDel="00000000" w:rsidR="00000000" w:rsidRPr="00000000">
        <w:rPr>
          <w:b w:val="0"/>
          <w:bCs w:val="0"/>
          <w:color w:val="000000"/>
          <w:sz w:val="26"/>
          <w:szCs w:val="26"/>
          <w:rtl w:val="0"/>
        </w:rPr>
        <w:t xml:space="preserve">5.A  Management-scenario supply curves from G4M (replaces the FORTRAN coupling)</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What G4M could replace. In the working paper the per-category wood volumes were built three different ways, and only one is database-grounded: S2/NFS is ENSPRESO-medium interpolated to 2035 at commodity-code level (~102 TWh); S1/BES is a </w:t>
      </w:r>
      <w:r w:rsidDel="00000000" w:rsidR="00000000" w:rsidRPr="00000000">
        <w:rPr>
          <w:rFonts w:ascii="Calibri" w:cs="Calibri" w:eastAsia="Calibri" w:hAnsi="Calibri"/>
          <w:i w:val="1"/>
          <w:iCs w:val="1"/>
          <w:rtl w:val="0"/>
        </w:rPr>
        <w:t xml:space="preserve">stylised</w:t>
      </w:r>
      <w:r w:rsidDel="00000000" w:rsidR="00000000" w:rsidRPr="00000000">
        <w:rPr>
          <w:rFonts w:ascii="Calibri" w:cs="Calibri" w:eastAsia="Calibri" w:hAnsi="Calibri"/>
          <w:rtl w:val="0"/>
        </w:rPr>
        <w:t xml:space="preserve"> +20% uniform scale-up of S2 (~122 TWh), since ENSPRESO-high is physically implausible for Finland and Blattert finds BES ≈ NFS in total harvest; S3/BDS is the ENSPRESO-low value revised downward by ~46% (74 → 40 TWh) through an audit against Blattert, Mönkkönen and LUKE. The cross-scenario volume differences , which drive the paper's headline result, rest largely on assumptions rather than measurement. Probably, the most valuable contribution of G4M is to put physical, assortment-level ground under exactly these numbers, and in particular to derive the energy-available volume as the residual </w:t>
      </w:r>
      <w:r w:rsidDel="00000000" w:rsidR="00000000" w:rsidRPr="00000000">
        <w:rPr>
          <w:rFonts w:ascii="Calibri" w:cs="Calibri" w:eastAsia="Calibri" w:hAnsi="Calibri"/>
          <w:i w:val="1"/>
          <w:iCs w:val="1"/>
          <w:rtl w:val="0"/>
        </w:rPr>
        <w:t xml:space="preserve">after</w:t>
      </w:r>
      <w:r w:rsidDel="00000000" w:rsidR="00000000" w:rsidRPr="00000000">
        <w:rPr>
          <w:rFonts w:ascii="Calibri" w:cs="Calibri" w:eastAsia="Calibri" w:hAnsi="Calibri"/>
          <w:rtl w:val="0"/>
        </w:rPr>
        <w:t xml:space="preserve"> industrial roundwood demand under each regime.</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How the S3 ceiling was scaled from Mönkkönen, the chain G4M would replace. Mönkkönen et al. (2024) give a </w:t>
      </w:r>
      <w:r w:rsidDel="00000000" w:rsidR="00000000" w:rsidRPr="00000000">
        <w:rPr>
          <w:rFonts w:ascii="Calibri" w:cs="Calibri" w:eastAsia="Calibri" w:hAnsi="Calibri"/>
          <w:i w:val="1"/>
          <w:iCs w:val="1"/>
          <w:rtl w:val="0"/>
        </w:rPr>
        <w:t xml:space="preserve">percentage</w:t>
      </w:r>
      <w:r w:rsidDel="00000000" w:rsidR="00000000" w:rsidRPr="00000000">
        <w:rPr>
          <w:rFonts w:ascii="Calibri" w:cs="Calibri" w:eastAsia="Calibri" w:hAnsi="Calibri"/>
          <w:rtl w:val="0"/>
        </w:rPr>
        <w:t xml:space="preserve"> ceiling for Southern Finland only: the ecologically safe harvest is ~58–60% of the maximum economically sustainable level (current harvest ≈ 96%). Turning that into the S3 wood volumes took a two-stage manual scaling. Stage 1 (% → national harvest): anchor on the 2018 roundwood harvest (78.2 Mm³), back out the maximum sustainable (78.2 / 0.96 ≈ 81 Mm³/yr), and apply the 60% ceiling (≈ 49 Mm³/yr) — extrapolating the Southern-Finland ratio to the whole country. Stage 2 (harvest → energy residues): take the logging-residue fraction of merchantable volume (~15–20% → ~8.6 Mm³ technical), then a conservation-regime collection efficiency of 30–40% (≈ 2.6–3.4 Mm³ ≈ 3.9–5.1 TWh at 1.5 MWh/m³), which sets the S3 logging-residue step </w:t>
      </w:r>
      <w:r w:rsidDel="00000000" w:rsidR="00000000" w:rsidRPr="00000000">
        <w:rPr>
          <w:rFonts w:ascii="Calibri" w:cs="Calibri" w:eastAsia="Calibri" w:hAnsi="Calibri"/>
          <w:sz w:val="18"/>
          <w:szCs w:val="18"/>
          <w:rtl w:val="0"/>
        </w:rPr>
        <w:t xml:space="preserve">WOOD_FI2</w:t>
      </w:r>
      <w:r w:rsidDel="00000000" w:rsidR="00000000" w:rsidRPr="00000000">
        <w:rPr>
          <w:rFonts w:ascii="Calibri" w:cs="Calibri" w:eastAsia="Calibri" w:hAnsi="Calibri"/>
          <w:rtl w:val="0"/>
        </w:rPr>
        <w:t xml:space="preserve"> at 6 TWh. The steep reduction comes from Stage 2, not Stage 1. This hand-built chain, percentage ceiling → national volume → residue fraction → collection efficiency, is exactly what G4M would replace with a physically modelled, assortment-level harvest under each management regime.</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For each management scenario and climate pathway, run G4M for Finland over 2025–2060 and extract, per year and nationnaly:</w:t>
      </w:r>
    </w:p>
    <w:p w:rsidR="00000000" w:rsidDel="00000000" w:rsidP="00000000" w:rsidRDefault="00000000" w:rsidRPr="00000000" w14:paraId="00000049">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harvestable volume by assortment (sawlogs, pulpwood, logging residues, fuelwood, stumps);</w:t>
      </w:r>
    </w:p>
    <w:p w:rsidR="00000000" w:rsidDel="00000000" w:rsidP="00000000" w:rsidRDefault="00000000" w:rsidRPr="00000000" w14:paraId="0000004A">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fractions ecologically available after deadwood/residue-retention rules (scenario-specific);</w:t>
      </w:r>
    </w:p>
    <w:p w:rsidR="00000000" w:rsidDel="00000000" w:rsidP="00000000" w:rsidRDefault="00000000" w:rsidRPr="00000000" w14:paraId="0000004B">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the net forest carbon flux (growing-stock change + deadwood + soil + HWP), i.e. the LULUCF term</w:t>
      </w:r>
    </w:p>
    <w:p w:rsidR="00000000" w:rsidDel="00000000" w:rsidP="00000000" w:rsidRDefault="00000000" w:rsidRPr="00000000" w14:paraId="0000004C">
      <w:pPr>
        <w:spacing w:after="0"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D">
      <w:pPr>
        <w:ind w:left="360" w:firstLine="0"/>
        <w:rPr>
          <w:rFonts w:ascii="Calibri" w:cs="Calibri" w:eastAsia="Calibri" w:hAnsi="Calibri"/>
        </w:rPr>
      </w:pPr>
      <w:r w:rsidDel="00000000" w:rsidR="00000000" w:rsidRPr="00000000">
        <w:rPr>
          <w:rFonts w:ascii="Calibri" w:cs="Calibri" w:eastAsia="Calibri" w:hAnsi="Calibri"/>
          <w:rtl w:val="0"/>
        </w:rPr>
        <w:t xml:space="preserve">Convert assortments to the existing </w:t>
      </w:r>
      <w:r w:rsidDel="00000000" w:rsidR="00000000" w:rsidRPr="00000000">
        <w:rPr>
          <w:rFonts w:ascii="Calibri" w:cs="Calibri" w:eastAsia="Calibri" w:hAnsi="Calibri"/>
          <w:sz w:val="18"/>
          <w:szCs w:val="18"/>
          <w:rtl w:val="0"/>
        </w:rPr>
        <w:t xml:space="preserve">WOOD_FI1…FI4</w:t>
      </w:r>
      <w:r w:rsidDel="00000000" w:rsidR="00000000" w:rsidRPr="00000000">
        <w:rPr>
          <w:rFonts w:ascii="Calibri" w:cs="Calibri" w:eastAsia="Calibri" w:hAnsi="Calibri"/>
          <w:rtl w:val="0"/>
        </w:rPr>
        <w:t xml:space="preserve"> steps (volume→energy factors, which I have partly done), with marginal costs from Finnish statistics (LUKE) and RED II Annex VI. The result is a dynamic, internally consistent replacement for the current static ENSPRESO curves, keeping the EnergyScope implementation unchanged (no model change needed for the curves themselves).</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One structural caveat for the mapping. If I am not wron G4M's forest-gate assortments (sawlogs, pulpwood, logging residues, fuelwood, stumps) do not directly include the mill by-product stream such as black liquor, bark, sawdust, which is </w:t>
      </w:r>
      <w:r w:rsidDel="00000000" w:rsidR="00000000" w:rsidRPr="00000000">
        <w:rPr>
          <w:rFonts w:ascii="Calibri" w:cs="Calibri" w:eastAsia="Calibri" w:hAnsi="Calibri"/>
          <w:sz w:val="18"/>
          <w:szCs w:val="18"/>
          <w:rtl w:val="0"/>
        </w:rPr>
        <w:t xml:space="preserve">WOOD_FI1</w:t>
      </w:r>
      <w:r w:rsidDel="00000000" w:rsidR="00000000" w:rsidRPr="00000000">
        <w:rPr>
          <w:rFonts w:ascii="Calibri" w:cs="Calibri" w:eastAsia="Calibri" w:hAnsi="Calibri"/>
          <w:rtl w:val="0"/>
        </w:rPr>
        <w:t xml:space="preserve">, the cheapest step and ~45% of domestic supply. FI1 is driven by industrial </w:t>
      </w:r>
      <w:r w:rsidDel="00000000" w:rsidR="00000000" w:rsidRPr="00000000">
        <w:rPr>
          <w:rFonts w:ascii="Calibri" w:cs="Calibri" w:eastAsia="Calibri" w:hAnsi="Calibri"/>
          <w:i w:val="1"/>
          <w:iCs w:val="1"/>
          <w:rtl w:val="0"/>
        </w:rPr>
        <w:t xml:space="preserve">processing</w:t>
      </w:r>
      <w:r w:rsidDel="00000000" w:rsidR="00000000" w:rsidRPr="00000000">
        <w:rPr>
          <w:rFonts w:ascii="Calibri" w:cs="Calibri" w:eastAsia="Calibri" w:hAnsi="Calibri"/>
          <w:rtl w:val="0"/>
        </w:rPr>
        <w:t xml:space="preserve"> throughput, not by forest-energy harvest decisions. The coupling must therefore either (i) add a processing-yield bridge from G4M's industrial-roundwood harvest to by-product volumes, or (ii) keep FI1 from national statistics (LUKE) and use G4M only for the harvest-driven steps FI2–FI4. This choice should be settled explicitly with the G4M team.</w:t>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Proposed scenarios (aligned with Blattert / Mönkkönen / ForestNavigator), each under RCP4.5 (GWL2) and RCP8.5 (GWL3):</w:t>
      </w:r>
    </w:p>
    <w:tbl>
      <w:tblPr>
        <w:tblStyle w:val="Table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360"/>
        <w:gridCol w:w="3345"/>
        <w:tblGridChange w:id="0">
          <w:tblGrid>
            <w:gridCol w:w="3360"/>
            <w:gridCol w:w="3360"/>
            <w:gridCol w:w="334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9f0ea" w:val="clear"/>
            <w:tcMar>
              <w:top w:w="0.0" w:type="dxa"/>
              <w:left w:w="100.0" w:type="dxa"/>
              <w:bottom w:w="0.0" w:type="dxa"/>
              <w:right w:w="100.0" w:type="dxa"/>
            </w:tcMar>
            <w:vAlign w:val="top"/>
          </w:tcPr>
          <w:p w:rsidR="00000000" w:rsidDel="00000000" w:rsidP="00000000" w:rsidRDefault="00000000" w:rsidRPr="00000000" w14:paraId="00000050">
            <w:pPr>
              <w:spacing w:after="20" w:lineRule="auto"/>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6" w:val="single"/>
              <w:left w:color="000000" w:space="0" w:sz="0" w:val="nil"/>
              <w:bottom w:color="000000" w:space="0" w:sz="6" w:val="single"/>
              <w:right w:color="000000" w:space="0" w:sz="6" w:val="single"/>
            </w:tcBorders>
            <w:shd w:fill="e9f0ea" w:val="clear"/>
            <w:tcMar>
              <w:top w:w="0.0" w:type="dxa"/>
              <w:left w:w="100.0" w:type="dxa"/>
              <w:bottom w:w="0.0" w:type="dxa"/>
              <w:right w:w="100.0" w:type="dxa"/>
            </w:tcMar>
            <w:vAlign w:val="top"/>
          </w:tcPr>
          <w:p w:rsidR="00000000" w:rsidDel="00000000" w:rsidP="00000000" w:rsidRDefault="00000000" w:rsidRPr="00000000" w14:paraId="00000051">
            <w:pPr>
              <w:spacing w:after="20" w:lineRule="auto"/>
              <w:rPr>
                <w:rFonts w:ascii="Calibri" w:cs="Calibri" w:eastAsia="Calibri" w:hAnsi="Calibri"/>
              </w:rPr>
            </w:pPr>
            <w:r w:rsidDel="00000000" w:rsidR="00000000" w:rsidRPr="00000000">
              <w:rPr>
                <w:rFonts w:ascii="Calibri" w:cs="Calibri" w:eastAsia="Calibri" w:hAnsi="Calibri"/>
                <w:rtl w:val="0"/>
              </w:rPr>
              <w:t xml:space="preserve">Management logic</w:t>
            </w:r>
          </w:p>
        </w:tc>
        <w:tc>
          <w:tcPr>
            <w:tcBorders>
              <w:top w:color="000000" w:space="0" w:sz="6" w:val="single"/>
              <w:left w:color="000000" w:space="0" w:sz="0" w:val="nil"/>
              <w:bottom w:color="000000" w:space="0" w:sz="6" w:val="single"/>
              <w:right w:color="000000" w:space="0" w:sz="6" w:val="single"/>
            </w:tcBorders>
            <w:shd w:fill="e9f0ea" w:val="clear"/>
            <w:tcMar>
              <w:top w:w="0.0" w:type="dxa"/>
              <w:left w:w="100.0" w:type="dxa"/>
              <w:bottom w:w="0.0" w:type="dxa"/>
              <w:right w:w="100.0" w:type="dxa"/>
            </w:tcMar>
            <w:vAlign w:val="top"/>
          </w:tcPr>
          <w:p w:rsidR="00000000" w:rsidDel="00000000" w:rsidP="00000000" w:rsidRDefault="00000000" w:rsidRPr="00000000" w14:paraId="00000052">
            <w:pPr>
              <w:spacing w:after="20" w:lineRule="auto"/>
              <w:rPr>
                <w:rFonts w:ascii="Calibri" w:cs="Calibri" w:eastAsia="Calibri" w:hAnsi="Calibri"/>
              </w:rPr>
            </w:pPr>
            <w:r w:rsidDel="00000000" w:rsidR="00000000" w:rsidRPr="00000000">
              <w:rPr>
                <w:rFonts w:ascii="Calibri" w:cs="Calibri" w:eastAsia="Calibri" w:hAnsi="Calibri"/>
                <w:rtl w:val="0"/>
              </w:rPr>
              <w:t xml:space="preserve">Harvest level</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20" w:lineRule="auto"/>
              <w:rPr>
                <w:rFonts w:ascii="Calibri" w:cs="Calibri" w:eastAsia="Calibri" w:hAnsi="Calibri"/>
              </w:rPr>
            </w:pPr>
            <w:r w:rsidDel="00000000" w:rsidR="00000000" w:rsidRPr="00000000">
              <w:rPr>
                <w:rFonts w:ascii="Calibri" w:cs="Calibri" w:eastAsia="Calibri" w:hAnsi="Calibri"/>
                <w:rtl w:val="0"/>
              </w:rPr>
              <w:t xml:space="preserve">S1 Intensive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20" w:lineRule="auto"/>
              <w:rPr>
                <w:rFonts w:ascii="Calibri" w:cs="Calibri" w:eastAsia="Calibri" w:hAnsi="Calibri"/>
              </w:rPr>
            </w:pPr>
            <w:r w:rsidDel="00000000" w:rsidR="00000000" w:rsidRPr="00000000">
              <w:rPr>
                <w:rFonts w:ascii="Calibri" w:cs="Calibri" w:eastAsia="Calibri" w:hAnsi="Calibri"/>
                <w:rtl w:val="0"/>
              </w:rPr>
              <w:t xml:space="preserve">maximise roundwood + energy residues; rotation forestry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20" w:lineRule="auto"/>
              <w:rPr>
                <w:rFonts w:ascii="Calibri" w:cs="Calibri" w:eastAsia="Calibri" w:hAnsi="Calibri"/>
              </w:rPr>
            </w:pPr>
            <w:r w:rsidDel="00000000" w:rsidR="00000000" w:rsidRPr="00000000">
              <w:rPr>
                <w:rFonts w:ascii="Calibri" w:cs="Calibri" w:eastAsia="Calibri" w:hAnsi="Calibri"/>
                <w:rtl w:val="0"/>
              </w:rPr>
              <w:t xml:space="preserve">~96% of sustainable ceiling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20" w:lineRule="auto"/>
              <w:rPr>
                <w:rFonts w:ascii="Calibri" w:cs="Calibri" w:eastAsia="Calibri" w:hAnsi="Calibri"/>
              </w:rPr>
            </w:pPr>
            <w:r w:rsidDel="00000000" w:rsidR="00000000" w:rsidRPr="00000000">
              <w:rPr>
                <w:rFonts w:ascii="Calibri" w:cs="Calibri" w:eastAsia="Calibri" w:hAnsi="Calibri"/>
                <w:rtl w:val="0"/>
              </w:rPr>
              <w:t xml:space="preserve">S2 Balanced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20" w:lineRule="auto"/>
              <w:rPr>
                <w:rFonts w:ascii="Calibri" w:cs="Calibri" w:eastAsia="Calibri" w:hAnsi="Calibri"/>
              </w:rPr>
            </w:pPr>
            <w:r w:rsidDel="00000000" w:rsidR="00000000" w:rsidRPr="00000000">
              <w:rPr>
                <w:rFonts w:ascii="Calibri" w:cs="Calibri" w:eastAsia="Calibri" w:hAnsi="Calibri"/>
                <w:rtl w:val="0"/>
              </w:rPr>
              <w:t xml:space="preserve">NFS targets; moderate biodiversity measures; mixed rotation/CCF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20" w:lineRule="auto"/>
              <w:rPr>
                <w:rFonts w:ascii="Calibri" w:cs="Calibri" w:eastAsia="Calibri" w:hAnsi="Calibri"/>
              </w:rPr>
            </w:pPr>
            <w:r w:rsidDel="00000000" w:rsidR="00000000" w:rsidRPr="00000000">
              <w:rPr>
                <w:rFonts w:ascii="Calibri" w:cs="Calibri" w:eastAsia="Calibri" w:hAnsi="Calibri"/>
                <w:rtl w:val="0"/>
              </w:rPr>
              <w:t xml:space="preserve">~80%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20" w:lineRule="auto"/>
              <w:rPr>
                <w:rFonts w:ascii="Calibri" w:cs="Calibri" w:eastAsia="Calibri" w:hAnsi="Calibri"/>
              </w:rPr>
            </w:pPr>
            <w:r w:rsidDel="00000000" w:rsidR="00000000" w:rsidRPr="00000000">
              <w:rPr>
                <w:rFonts w:ascii="Calibri" w:cs="Calibri" w:eastAsia="Calibri" w:hAnsi="Calibri"/>
                <w:rtl w:val="0"/>
              </w:rPr>
              <w:t xml:space="preserve">S3 Conservation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20" w:lineRule="auto"/>
              <w:rPr>
                <w:rFonts w:ascii="Calibri" w:cs="Calibri" w:eastAsia="Calibri" w:hAnsi="Calibri"/>
              </w:rPr>
            </w:pPr>
            <w:r w:rsidDel="00000000" w:rsidR="00000000" w:rsidRPr="00000000">
              <w:rPr>
                <w:rFonts w:ascii="Calibri" w:cs="Calibri" w:eastAsia="Calibri" w:hAnsi="Calibri"/>
                <w:rtl w:val="0"/>
              </w:rPr>
              <w:t xml:space="preserve">biodiversity-first; extended rotations, CCF, set-aside, deadwood retention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20" w:lineRule="auto"/>
              <w:rPr>
                <w:rFonts w:ascii="Calibri" w:cs="Calibri" w:eastAsia="Calibri" w:hAnsi="Calibri"/>
              </w:rPr>
            </w:pPr>
            <w:r w:rsidDel="00000000" w:rsidR="00000000" w:rsidRPr="00000000">
              <w:rPr>
                <w:rFonts w:ascii="Calibri" w:cs="Calibri" w:eastAsia="Calibri" w:hAnsi="Calibri"/>
                <w:rtl w:val="0"/>
              </w:rPr>
              <w:t xml:space="preserve">~58–60%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20" w:lineRule="auto"/>
              <w:rPr>
                <w:rFonts w:ascii="Calibri" w:cs="Calibri" w:eastAsia="Calibri" w:hAnsi="Calibri"/>
                <w:i w:val="1"/>
                <w:iCs w:val="1"/>
              </w:rPr>
            </w:pPr>
            <w:r w:rsidDel="00000000" w:rsidR="00000000" w:rsidRPr="00000000">
              <w:rPr>
                <w:rFonts w:ascii="Calibri" w:cs="Calibri" w:eastAsia="Calibri" w:hAnsi="Calibri"/>
                <w:rtl w:val="0"/>
              </w:rPr>
              <w:t xml:space="preserve">S0 Sink-max / net-zero </w:t>
            </w:r>
            <w:r w:rsidDel="00000000" w:rsidR="00000000" w:rsidRPr="00000000">
              <w:rPr>
                <w:rFonts w:ascii="Calibri" w:cs="Calibri" w:eastAsia="Calibri" w:hAnsi="Calibri"/>
                <w:i w:val="1"/>
                <w:iCs w:val="1"/>
                <w:rtl w:val="0"/>
              </w:rPr>
              <w:t xml:space="preserve">(new — see 5.C)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20" w:lineRule="auto"/>
              <w:rPr>
                <w:rFonts w:ascii="Calibri" w:cs="Calibri" w:eastAsia="Calibri" w:hAnsi="Calibri"/>
              </w:rPr>
            </w:pPr>
            <w:r w:rsidDel="00000000" w:rsidR="00000000" w:rsidRPr="00000000">
              <w:rPr>
                <w:rFonts w:ascii="Calibri" w:cs="Calibri" w:eastAsia="Calibri" w:hAnsi="Calibri"/>
                <w:rtl w:val="0"/>
              </w:rPr>
              <w:t xml:space="preserve">minimise harvest / maximise sink subject to meeting wood floors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20" w:lineRule="auto"/>
              <w:rPr>
                <w:rFonts w:ascii="Calibri" w:cs="Calibri" w:eastAsia="Calibri" w:hAnsi="Calibri"/>
              </w:rPr>
            </w:pPr>
            <w:r w:rsidDel="00000000" w:rsidR="00000000" w:rsidRPr="00000000">
              <w:rPr>
                <w:rFonts w:ascii="Calibri" w:cs="Calibri" w:eastAsia="Calibri" w:hAnsi="Calibri"/>
                <w:rtl w:val="0"/>
              </w:rPr>
              <w:t xml:space="preserve">lowest</w:t>
            </w:r>
          </w:p>
        </w:tc>
      </w:tr>
    </w:tbl>
    <w:p w:rsidR="00000000" w:rsidDel="00000000" w:rsidP="00000000" w:rsidRDefault="00000000" w:rsidRPr="00000000" w14:paraId="0000005F">
      <w:pPr>
        <w:spacing w:after="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0">
      <w:pPr>
        <w:pStyle w:val="Heading3"/>
        <w:keepNext w:val="0"/>
        <w:keepLines w:val="0"/>
        <w:spacing w:before="280" w:lineRule="auto"/>
        <w:rPr>
          <w:b w:val="0"/>
          <w:bCs w:val="0"/>
          <w:color w:val="000000"/>
          <w:sz w:val="26"/>
          <w:szCs w:val="26"/>
        </w:rPr>
      </w:pPr>
      <w:bookmarkStart w:colFirst="0" w:colLast="0" w:name="_heading=h.ipislj6dmlzj" w:id="6"/>
      <w:bookmarkEnd w:id="6"/>
      <w:r w:rsidDel="00000000" w:rsidR="00000000" w:rsidRPr="00000000">
        <w:rPr>
          <w:b w:val="0"/>
          <w:bCs w:val="0"/>
          <w:color w:val="000000"/>
          <w:sz w:val="26"/>
          <w:szCs w:val="26"/>
          <w:rtl w:val="0"/>
        </w:rPr>
        <w:t xml:space="preserve">5.B  Disturbance-shock supply curves from G4M + disturbance modules</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Use G4M's disturbance-aware runs (or G4M + FLAM/bark-beetle/wind outputs from ForestNavigator) to build time-profiled supply curves around a compound event, rather than a single lower ceiling. A disturbance scenario produces three superimposed effects on the curve:</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1. Calamity-wood pulse (Q3): a large, cheap, time-limited (≈18–24 month) salvage volume, quality- penalised (blue-stain, moisture 20–55%, LHV −10…−25%), usable in direct combustion only.</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2. Structural supply deficit: reduced </w:t>
      </w:r>
      <w:r w:rsidDel="00000000" w:rsidR="00000000" w:rsidRPr="00000000">
        <w:rPr>
          <w:rFonts w:ascii="Calibri" w:cs="Calibri" w:eastAsia="Calibri" w:hAnsi="Calibri"/>
          <w:sz w:val="18"/>
          <w:szCs w:val="18"/>
          <w:rtl w:val="0"/>
        </w:rPr>
        <w:t xml:space="preserve">WOOD_FI1/FI2</w:t>
      </w:r>
      <w:r w:rsidDel="00000000" w:rsidR="00000000" w:rsidRPr="00000000">
        <w:rPr>
          <w:rFonts w:ascii="Calibri" w:cs="Calibri" w:eastAsia="Calibri" w:hAnsi="Calibri"/>
          <w:rtl w:val="0"/>
        </w:rPr>
        <w:t xml:space="preserve"> availability for 10–15 years from depleted cohorts and damaged area out of rotation.</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3. Sink loss: an immediate LULUCF emission from killed biomass and foregone future growth.</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Energy-system response is studied as a pre-shock → post-shock pair with </w:t>
      </w:r>
      <w:r w:rsidDel="00000000" w:rsidR="00000000" w:rsidRPr="00000000">
        <w:rPr>
          <w:rFonts w:ascii="Calibri" w:cs="Calibri" w:eastAsia="Calibri" w:hAnsi="Calibri"/>
          <w:i w:val="1"/>
          <w:iCs w:val="1"/>
          <w:rtl w:val="0"/>
        </w:rPr>
        <w:t xml:space="preserve">constrained re-optimisation</w:t>
      </w:r>
      <w:r w:rsidDel="00000000" w:rsidR="00000000" w:rsidRPr="00000000">
        <w:rPr>
          <w:rFonts w:ascii="Calibri" w:cs="Calibri" w:eastAsia="Calibri" w:hAnsi="Calibri"/>
          <w:rtl w:val="0"/>
        </w:rPr>
        <w:t xml:space="preserve"> (investment lead times lock part of the pre-shock fleet via inherited lower bounds on installed capacity), to expose stranded-asset and transition-delay risks (RQ3).</w:t>
      </w:r>
    </w:p>
    <w:p w:rsidR="00000000" w:rsidDel="00000000" w:rsidP="00000000" w:rsidRDefault="00000000" w:rsidRPr="00000000" w14:paraId="00000066">
      <w:pPr>
        <w:pStyle w:val="Heading3"/>
        <w:keepNext w:val="0"/>
        <w:keepLines w:val="0"/>
        <w:spacing w:before="280" w:lineRule="auto"/>
        <w:rPr>
          <w:b w:val="0"/>
          <w:bCs w:val="0"/>
          <w:color w:val="000000"/>
          <w:sz w:val="26"/>
          <w:szCs w:val="26"/>
        </w:rPr>
      </w:pPr>
      <w:bookmarkStart w:colFirst="0" w:colLast="0" w:name="_heading=h.v5g3gk1wkuat" w:id="7"/>
      <w:bookmarkEnd w:id="7"/>
      <w:r w:rsidDel="00000000" w:rsidR="00000000" w:rsidRPr="00000000">
        <w:rPr>
          <w:b w:val="0"/>
          <w:bCs w:val="0"/>
          <w:color w:val="000000"/>
          <w:sz w:val="26"/>
          <w:szCs w:val="26"/>
          <w:rtl w:val="0"/>
        </w:rPr>
        <w:t xml:space="preserve">5.C  Coupling the forest carbon sink into EnergyScope</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Make the national climate target a land–energy coupled budget. I could replace the energy-only constraint</w:t>
      </w:r>
    </w:p>
    <w:p w:rsidR="00000000" w:rsidDel="00000000" w:rsidP="00000000" w:rsidRDefault="00000000" w:rsidRPr="00000000" w14:paraId="00000068">
      <w:pPr>
        <w:shd w:fill="f4f4f4" w:val="clear"/>
        <w:spacing w:after="120" w:before="80" w:line="276" w:lineRule="auto"/>
        <w:ind w:left="200" w:right="200" w:firstLine="0"/>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Σ[r] CO₂_net[r] ≤ gwp_limit</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with</w:t>
      </w:r>
    </w:p>
    <w:p w:rsidR="00000000" w:rsidDel="00000000" w:rsidP="00000000" w:rsidRDefault="00000000" w:rsidRPr="00000000" w14:paraId="0000006A">
      <w:pPr>
        <w:shd w:fill="f4f4f4" w:val="clear"/>
        <w:spacing w:after="120" w:before="80" w:line="276" w:lineRule="auto"/>
        <w:ind w:left="200" w:right="200" w:firstLine="0"/>
        <w:jc w:val="cente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Σ[r] CO₂_net[r] - S_forest(scenario, year, disturbance) [net sink from G4M, &lt;0 when a sink] ≤ gwp_limit,</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where S_forest is an exogenous, scenario-dependent net forest/HWP CO₂ flux supplied by G4M (a single national parameter per scenario-year, extendable to sub-regions). This is a small, transparent AMPL change (one parameter + one term in </w:t>
      </w:r>
      <w:r w:rsidDel="00000000" w:rsidR="00000000" w:rsidRPr="00000000">
        <w:rPr>
          <w:rFonts w:ascii="Calibri" w:cs="Calibri" w:eastAsia="Calibri" w:hAnsi="Calibri"/>
          <w:sz w:val="18"/>
          <w:szCs w:val="18"/>
          <w:rtl w:val="0"/>
        </w:rPr>
        <w:t xml:space="preserve">Minimum_GWP_reduction</w:t>
      </w:r>
      <w:r w:rsidDel="00000000" w:rsidR="00000000" w:rsidRPr="00000000">
        <w:rPr>
          <w:rFonts w:ascii="Calibri" w:cs="Calibri" w:eastAsia="Calibri" w:hAnsi="Calibri"/>
          <w:rtl w:val="0"/>
        </w:rPr>
        <w:t xml:space="preserve">) and it makes harvest intensity and disturbances act on the energy system through the sink, not only through wood availability. It enables:</w:t>
      </w:r>
    </w:p>
    <w:p w:rsidR="00000000" w:rsidDel="00000000" w:rsidP="00000000" w:rsidRDefault="00000000" w:rsidRPr="00000000" w14:paraId="0000006C">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RQ2: does deep decarbonisation become </w:t>
      </w:r>
      <w:r w:rsidDel="00000000" w:rsidR="00000000" w:rsidRPr="00000000">
        <w:rPr>
          <w:rFonts w:ascii="Calibri" w:cs="Calibri" w:eastAsia="Calibri" w:hAnsi="Calibri"/>
          <w:i w:val="1"/>
          <w:iCs w:val="1"/>
          <w:rtl w:val="0"/>
        </w:rPr>
        <w:t xml:space="preserve">cheaper</w:t>
      </w:r>
      <w:r w:rsidDel="00000000" w:rsidR="00000000" w:rsidRPr="00000000">
        <w:rPr>
          <w:rFonts w:ascii="Calibri" w:cs="Calibri" w:eastAsia="Calibri" w:hAnsi="Calibri"/>
          <w:rtl w:val="0"/>
        </w:rPr>
        <w:t xml:space="preserve"> under conservation (large sink "credit") or does the energy-only penalty dominate?</w:t>
      </w:r>
    </w:p>
    <w:p w:rsidR="00000000" w:rsidDel="00000000" w:rsidP="00000000" w:rsidRDefault="00000000" w:rsidRPr="00000000" w14:paraId="0000006D">
      <w:pPr>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RQ4 / new S0 scenario: define net-zero over energy + land (require Σ_r CO₂_net ≤ S_forest), i.e. a sink-maximising / LULUCF-net-zero baseline that replaces the current "neutral" S2 framing. This directly answers the user intent to "maximise the sink or ensure net zero."</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i w:val="1"/>
          <w:iCs w:val="1"/>
          <w:rtl w:val="0"/>
        </w:rPr>
        <w:t xml:space="preserve">Scope control:</w:t>
      </w:r>
      <w:r w:rsidDel="00000000" w:rsidR="00000000" w:rsidRPr="00000000">
        <w:rPr>
          <w:rFonts w:ascii="Calibri" w:cs="Calibri" w:eastAsia="Calibri" w:hAnsi="Calibri"/>
          <w:rtl w:val="0"/>
        </w:rPr>
        <w:t xml:space="preserve"> S_forest is treated as an exogenous input from G4M, not endogenized. EnergyScope model does not optimise forest management, it responds to it. This keeps the coupling one-way and tractable for a first paper, consistent with the open-question Q6 (LULUCF accounting treatment) carried over from the previous note.</w:t>
      </w:r>
    </w:p>
    <w:p w:rsidR="00000000" w:rsidDel="00000000" w:rsidP="00000000" w:rsidRDefault="00000000" w:rsidRPr="00000000" w14:paraId="0000006F">
      <w:pPr>
        <w:pStyle w:val="Heading3"/>
        <w:keepNext w:val="0"/>
        <w:keepLines w:val="0"/>
        <w:spacing w:before="280" w:lineRule="auto"/>
        <w:rPr>
          <w:b w:val="0"/>
          <w:bCs w:val="0"/>
          <w:color w:val="000000"/>
          <w:sz w:val="26"/>
          <w:szCs w:val="26"/>
        </w:rPr>
      </w:pPr>
      <w:bookmarkStart w:colFirst="0" w:colLast="0" w:name="_heading=h.u41u5sdl4fux" w:id="8"/>
      <w:bookmarkEnd w:id="8"/>
      <w:r w:rsidDel="00000000" w:rsidR="00000000" w:rsidRPr="00000000">
        <w:rPr>
          <w:b w:val="0"/>
          <w:bCs w:val="0"/>
          <w:color w:val="000000"/>
          <w:sz w:val="26"/>
          <w:szCs w:val="26"/>
          <w:rtl w:val="0"/>
        </w:rPr>
        <w:t xml:space="preserve">5.D  European, cross-sectoral extension with BeWhere (collaboration track)</w:t>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As a parallel/follow-on track with Fabian Schipfer and Shubham Tiwari (IIASA), the quality-and-cost-differentiated supply-curve representation can be scaled from Finland to Europe and from energy to competing end-uses (construction / engineered wood / HWP) using BeWhere. The Finnish EnergyScope study would provide the national, energy-system-optimisation "deep dive"; BeWhere would provide the spatially explicit, multi-sector, European allocation view. The shared object, a transferable, disturbance- and management-sensitive biomass supply curve, is the natural bridge between the two models and the basis for a joint proposal.</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20" w:before="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2">
      <w:pPr>
        <w:pStyle w:val="Heading1"/>
        <w:keepNext w:val="0"/>
        <w:keepLines w:val="0"/>
        <w:spacing w:after="120" w:before="480" w:lineRule="auto"/>
        <w:rPr>
          <w:b w:val="0"/>
          <w:bCs w:val="0"/>
          <w:color w:val="000000"/>
          <w:sz w:val="46"/>
          <w:szCs w:val="46"/>
        </w:rPr>
      </w:pPr>
      <w:bookmarkStart w:colFirst="0" w:colLast="0" w:name="_heading=h.6obyi4yr9a3o" w:id="9"/>
      <w:bookmarkEnd w:id="9"/>
      <w:r w:rsidDel="00000000" w:rsidR="00000000" w:rsidRPr="00000000">
        <w:rPr>
          <w:b w:val="0"/>
          <w:bCs w:val="0"/>
          <w:color w:val="000000"/>
          <w:sz w:val="46"/>
          <w:szCs w:val="46"/>
          <w:rtl w:val="0"/>
        </w:rPr>
        <w:t xml:space="preserve">6. Path forward</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1. [IIASA — G4M team] Confirm that G4M can deliver, for Finland (2025–2060, by management scenario × GWL2/GWL3): (a) harvestable wood by assortment, (b) discussion on ecologically available fractions, (c) net forest + HWP carbon flux, and (d) disturbance-driven mortality/salvage. Confirm spatial resolution and output format.</w:t>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2. [M. Bordenave] prototype the sink-coupling AMPL term (5.C) against the existing 2035 matrix using </w:t>
      </w:r>
      <w:r w:rsidDel="00000000" w:rsidR="00000000" w:rsidRPr="00000000">
        <w:rPr>
          <w:rFonts w:ascii="Calibri" w:cs="Calibri" w:eastAsia="Calibri" w:hAnsi="Calibri"/>
          <w:i w:val="1"/>
          <w:iCs w:val="1"/>
          <w:rtl w:val="0"/>
        </w:rPr>
        <w:t xml:space="preserve">literature</w:t>
      </w:r>
      <w:r w:rsidDel="00000000" w:rsidR="00000000" w:rsidRPr="00000000">
        <w:rPr>
          <w:rFonts w:ascii="Calibri" w:cs="Calibri" w:eastAsia="Calibri" w:hAnsi="Calibri"/>
          <w:rtl w:val="0"/>
        </w:rPr>
        <w:t xml:space="preserve"> sink values (Blattert) as a placeholder, to demonstrate the mechanism before G4M data arrive.</w:t>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3. [M. Bordenave + IIASA] Map G4M assortments → </w:t>
      </w:r>
      <w:r w:rsidDel="00000000" w:rsidR="00000000" w:rsidRPr="00000000">
        <w:rPr>
          <w:rFonts w:ascii="Calibri" w:cs="Calibri" w:eastAsia="Calibri" w:hAnsi="Calibri"/>
          <w:sz w:val="18"/>
          <w:szCs w:val="18"/>
          <w:rtl w:val="0"/>
        </w:rPr>
        <w:t xml:space="preserve">WOOD_FI1…FI4</w:t>
      </w:r>
      <w:r w:rsidDel="00000000" w:rsidR="00000000" w:rsidRPr="00000000">
        <w:rPr>
          <w:rFonts w:ascii="Calibri" w:cs="Calibri" w:eastAsia="Calibri" w:hAnsi="Calibri"/>
          <w:rtl w:val="0"/>
        </w:rPr>
        <w:t xml:space="preserve">; adopt best cost data where Finland coverage is sufficient</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4. [All] Agree scenario definitions (incl. the new S0 sink-max/net-zero) and the disturbance event design (compound windstorm → beetle, GWL2 primary).</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5. [IIASA — Schipfer/Tiwari] Scope the BeWhere European extension as a follow-on; identify the shared supply-curve interface and a target joint output (paper / proposal).</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20" w:before="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pStyle w:val="Heading1"/>
        <w:keepNext w:val="0"/>
        <w:keepLines w:val="0"/>
        <w:spacing w:after="120" w:before="480" w:lineRule="auto"/>
        <w:rPr>
          <w:b w:val="0"/>
          <w:bCs w:val="0"/>
          <w:color w:val="000000"/>
          <w:sz w:val="46"/>
          <w:szCs w:val="46"/>
        </w:rPr>
      </w:pPr>
      <w:bookmarkStart w:colFirst="0" w:colLast="0" w:name="_heading=h.4e2x30e4lp56" w:id="10"/>
      <w:bookmarkEnd w:id="10"/>
      <w:r w:rsidDel="00000000" w:rsidR="00000000" w:rsidRPr="00000000">
        <w:rPr>
          <w:b w:val="0"/>
          <w:bCs w:val="0"/>
          <w:color w:val="000000"/>
          <w:sz w:val="46"/>
          <w:szCs w:val="46"/>
          <w:rtl w:val="0"/>
        </w:rPr>
        <w:t xml:space="preserve">7. Open questions for IIASA</w:t>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6690"/>
        <w:tblGridChange w:id="0">
          <w:tblGrid>
            <w:gridCol w:w="3375"/>
            <w:gridCol w:w="669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9f0ea" w:val="clear"/>
            <w:tcMar>
              <w:top w:w="0.0" w:type="dxa"/>
              <w:left w:w="100.0" w:type="dxa"/>
              <w:bottom w:w="0.0" w:type="dxa"/>
              <w:right w:w="100.0" w:type="dxa"/>
            </w:tcMar>
            <w:vAlign w:val="top"/>
          </w:tcPr>
          <w:p w:rsidR="00000000" w:rsidDel="00000000" w:rsidP="00000000" w:rsidRDefault="00000000" w:rsidRPr="00000000" w14:paraId="0000007A">
            <w:pPr>
              <w:spacing w:after="2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0" w:val="nil"/>
              <w:bottom w:color="000000" w:space="0" w:sz="6" w:val="single"/>
              <w:right w:color="000000" w:space="0" w:sz="6" w:val="single"/>
            </w:tcBorders>
            <w:shd w:fill="e9f0ea" w:val="clear"/>
            <w:tcMar>
              <w:top w:w="0.0" w:type="dxa"/>
              <w:left w:w="100.0" w:type="dxa"/>
              <w:bottom w:w="0.0" w:type="dxa"/>
              <w:right w:w="100.0" w:type="dxa"/>
            </w:tcMar>
            <w:vAlign w:val="top"/>
          </w:tcPr>
          <w:p w:rsidR="00000000" w:rsidDel="00000000" w:rsidP="00000000" w:rsidRDefault="00000000" w:rsidRPr="00000000" w14:paraId="0000007B">
            <w:pPr>
              <w:spacing w:after="20" w:lineRule="auto"/>
              <w:rPr>
                <w:rFonts w:ascii="Calibri" w:cs="Calibri" w:eastAsia="Calibri" w:hAnsi="Calibri"/>
              </w:rPr>
            </w:pPr>
            <w:r w:rsidDel="00000000" w:rsidR="00000000" w:rsidRPr="00000000">
              <w:rPr>
                <w:rFonts w:ascii="Calibri" w:cs="Calibri" w:eastAsia="Calibri" w:hAnsi="Calibri"/>
                <w:rtl w:val="0"/>
              </w:rPr>
              <w:t xml:space="preserve">Question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20" w:lineRule="auto"/>
              <w:rPr>
                <w:rFonts w:ascii="Calibri" w:cs="Calibri" w:eastAsia="Calibri" w:hAnsi="Calibri"/>
              </w:rPr>
            </w:pPr>
            <w:r w:rsidDel="00000000" w:rsidR="00000000" w:rsidRPr="00000000">
              <w:rPr>
                <w:rFonts w:ascii="Calibri" w:cs="Calibri" w:eastAsia="Calibri" w:hAnsi="Calibri"/>
                <w:rtl w:val="0"/>
              </w:rPr>
              <w:t xml:space="preserve">Q1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20" w:lineRule="auto"/>
              <w:rPr>
                <w:rFonts w:ascii="Calibri" w:cs="Calibri" w:eastAsia="Calibri" w:hAnsi="Calibri"/>
              </w:rPr>
            </w:pPr>
            <w:r w:rsidDel="00000000" w:rsidR="00000000" w:rsidRPr="00000000">
              <w:rPr>
                <w:rFonts w:ascii="Calibri" w:cs="Calibri" w:eastAsia="Calibri" w:hAnsi="Calibri"/>
                <w:rtl w:val="0"/>
              </w:rPr>
              <w:t xml:space="preserve">Does G4M already run for Finland at a resolution usable for national supply curves, and can it output assortment-level harvest and net carbon/HWP flux per management scenario?</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20" w:lineRule="auto"/>
              <w:rPr>
                <w:rFonts w:ascii="Calibri" w:cs="Calibri" w:eastAsia="Calibri" w:hAnsi="Calibri"/>
              </w:rPr>
            </w:pPr>
            <w:r w:rsidDel="00000000" w:rsidR="00000000" w:rsidRPr="00000000">
              <w:rPr>
                <w:rFonts w:ascii="Calibri" w:cs="Calibri" w:eastAsia="Calibri" w:hAnsi="Calibri"/>
                <w:rtl w:val="0"/>
              </w:rPr>
              <w:t xml:space="preserve">Q2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20" w:lineRule="auto"/>
              <w:rPr>
                <w:rFonts w:ascii="Calibri" w:cs="Calibri" w:eastAsia="Calibri" w:hAnsi="Calibri"/>
              </w:rPr>
            </w:pPr>
            <w:r w:rsidDel="00000000" w:rsidR="00000000" w:rsidRPr="00000000">
              <w:rPr>
                <w:rFonts w:ascii="Calibri" w:cs="Calibri" w:eastAsia="Calibri" w:hAnsi="Calibri"/>
                <w:rtl w:val="0"/>
              </w:rPr>
              <w:t xml:space="preserve">How should disturbance-related mortality be treated in Finland's LULUCF / forest reference level — i.e. should calamity-wood carbon be charged to the coupled GHG budget?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20" w:lineRule="auto"/>
              <w:rPr>
                <w:rFonts w:ascii="Calibri" w:cs="Calibri" w:eastAsia="Calibri" w:hAnsi="Calibri"/>
              </w:rPr>
            </w:pPr>
            <w:r w:rsidDel="00000000" w:rsidR="00000000" w:rsidRPr="00000000">
              <w:rPr>
                <w:rFonts w:ascii="Calibri" w:cs="Calibri" w:eastAsia="Calibri" w:hAnsi="Calibri"/>
                <w:rtl w:val="0"/>
              </w:rPr>
              <w:t xml:space="preserve">Q3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20" w:lineRule="auto"/>
              <w:rPr>
                <w:rFonts w:ascii="Calibri" w:cs="Calibri" w:eastAsia="Calibri" w:hAnsi="Calibri"/>
              </w:rPr>
            </w:pPr>
            <w:r w:rsidDel="00000000" w:rsidR="00000000" w:rsidRPr="00000000">
              <w:rPr>
                <w:rFonts w:ascii="Calibri" w:cs="Calibri" w:eastAsia="Calibri" w:hAnsi="Calibri"/>
                <w:rtl w:val="0"/>
              </w:rPr>
              <w:t xml:space="preserve">Are you (Shubham, Fabian) interested in a BeWhere-based European/construction extension built on the same supply-curve object, and on what timeline?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Q4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Can G4M resolve harvest by assortment under distinct management regimes (intensive / balanced / conservation) for Finland, and at what harvest-level denominator (share of annual increment vs share of maximum sustainable)?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Q5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How in IIASA you endogenise the industry-vs-energy split, so the energy-available residue is what remains after industrial roundwood demand under each scenario and what industrial-demand trajectory does we assume?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Q6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How should the mill by-product stream (WOOD_FI1: black liquor, bark, sawdust) be obtained — a G4M-linked processing-yield conversion, or national statistics (LUKE)/ENSPRESSO ?</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Q7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Are the ecological availability fractions (deadwood/residue retention, set-aside) applied inside G4M per scenario, or must we post-apply them to raw harvest?</w:t>
            </w:r>
          </w:p>
        </w:tc>
      </w:tr>
    </w:tbl>
    <w:p w:rsidR="00000000" w:rsidDel="00000000" w:rsidP="00000000" w:rsidRDefault="00000000" w:rsidRPr="00000000" w14:paraId="0000008A">
      <w:pPr>
        <w:spacing w:after="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20" w:before="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C">
      <w:pPr>
        <w:pStyle w:val="Heading1"/>
        <w:keepNext w:val="0"/>
        <w:keepLines w:val="0"/>
        <w:spacing w:after="120" w:before="480" w:lineRule="auto"/>
        <w:rPr>
          <w:b w:val="0"/>
          <w:bCs w:val="0"/>
          <w:color w:val="000000"/>
          <w:sz w:val="46"/>
          <w:szCs w:val="46"/>
        </w:rPr>
      </w:pPr>
      <w:bookmarkStart w:colFirst="0" w:colLast="0" w:name="_heading=h.8kmhu5hhnr7b" w:id="11"/>
      <w:bookmarkEnd w:id="11"/>
      <w:r w:rsidDel="00000000" w:rsidR="00000000" w:rsidRPr="00000000">
        <w:rPr>
          <w:b w:val="0"/>
          <w:bCs w:val="0"/>
          <w:color w:val="000000"/>
          <w:sz w:val="46"/>
          <w:szCs w:val="46"/>
          <w:rtl w:val="0"/>
        </w:rPr>
        <w:t xml:space="preserve">References</w:t>
      </w:r>
    </w:p>
    <w:p w:rsidR="00000000" w:rsidDel="00000000" w:rsidP="00000000" w:rsidRDefault="00000000" w:rsidRPr="00000000" w14:paraId="0000008D">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Blattert, C. et al. (2022). Sectoral policies cause incoherence in forest management and ecosystem service provisioning. </w:t>
      </w:r>
      <w:r w:rsidDel="00000000" w:rsidR="00000000" w:rsidRPr="00000000">
        <w:rPr>
          <w:rFonts w:ascii="Calibri" w:cs="Calibri" w:eastAsia="Calibri" w:hAnsi="Calibri"/>
          <w:i w:val="1"/>
          <w:iCs w:val="1"/>
          <w:rtl w:val="0"/>
        </w:rPr>
        <w:t xml:space="preserve">Forest Policy and Economics</w:t>
      </w:r>
      <w:r w:rsidDel="00000000" w:rsidR="00000000" w:rsidRPr="00000000">
        <w:rPr>
          <w:rFonts w:ascii="Calibri" w:cs="Calibri" w:eastAsia="Calibri" w:hAnsi="Calibri"/>
          <w:rtl w:val="0"/>
        </w:rPr>
        <w:t xml:space="preserve"> 136, 102689.</w:t>
      </w:r>
    </w:p>
    <w:p w:rsidR="00000000" w:rsidDel="00000000" w:rsidP="00000000" w:rsidRDefault="00000000" w:rsidRPr="00000000" w14:paraId="0000008E">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Colla, M. et al. (2022). Optimal Use of Lignocellulosic Biomass in a Multi-Sector Energy System.</w:t>
      </w:r>
    </w:p>
    <w:p w:rsidR="00000000" w:rsidDel="00000000" w:rsidP="00000000" w:rsidRDefault="00000000" w:rsidRPr="00000000" w14:paraId="0000008F">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Gusti, M. (2010). An algorithm for simulation of forest management decisions in the global forest model (G4M).</w:t>
      </w:r>
    </w:p>
    <w:p w:rsidR="00000000" w:rsidDel="00000000" w:rsidP="00000000" w:rsidRDefault="00000000" w:rsidRPr="00000000" w14:paraId="00000090">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Hlásny, T. et al. (2021). Devastating outbreak of bark beetles in the Czech Republic. </w:t>
      </w:r>
      <w:r w:rsidDel="00000000" w:rsidR="00000000" w:rsidRPr="00000000">
        <w:rPr>
          <w:rFonts w:ascii="Calibri" w:cs="Calibri" w:eastAsia="Calibri" w:hAnsi="Calibri"/>
          <w:i w:val="1"/>
          <w:iCs w:val="1"/>
          <w:rtl w:val="0"/>
        </w:rPr>
        <w:t xml:space="preserve">For. Ecol. Manage.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8"/>
          <w:szCs w:val="18"/>
          <w:rtl w:val="0"/>
        </w:rPr>
        <w:t xml:space="preserve">j.foreco.2021.119075</w:t>
      </w:r>
      <w:r w:rsidDel="00000000" w:rsidR="00000000" w:rsidRPr="00000000">
        <w:rPr>
          <w:rFonts w:ascii="Calibri" w:cs="Calibri" w:eastAsia="Calibri" w:hAnsi="Calibri"/>
          <w:rtl w:val="0"/>
        </w:rPr>
        <w:t xml:space="preserve">).</w:t>
      </w:r>
    </w:p>
    <w:p w:rsidR="00000000" w:rsidDel="00000000" w:rsidP="00000000" w:rsidRDefault="00000000" w:rsidRPr="00000000" w14:paraId="00000091">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Kärhä, K. et al. (2018). Salvage logging productivity and costs in windthrown Norway spruce. </w:t>
      </w:r>
      <w:r w:rsidDel="00000000" w:rsidR="00000000" w:rsidRPr="00000000">
        <w:rPr>
          <w:rFonts w:ascii="Calibri" w:cs="Calibri" w:eastAsia="Calibri" w:hAnsi="Calibri"/>
          <w:i w:val="1"/>
          <w:iCs w:val="1"/>
          <w:rtl w:val="0"/>
        </w:rPr>
        <w:t xml:space="preserve">Forests</w:t>
      </w:r>
      <w:r w:rsidDel="00000000" w:rsidR="00000000" w:rsidRPr="00000000">
        <w:rPr>
          <w:rFonts w:ascii="Calibri" w:cs="Calibri" w:eastAsia="Calibri" w:hAnsi="Calibri"/>
          <w:rtl w:val="0"/>
        </w:rPr>
        <w:t xml:space="preserve"> 9(5), 280.</w:t>
      </w:r>
    </w:p>
    <w:p w:rsidR="00000000" w:rsidDel="00000000" w:rsidP="00000000" w:rsidRDefault="00000000" w:rsidRPr="00000000" w14:paraId="00000092">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Kindermann, G. et al. (2008). A global forest growing stock, biomass and carbon map based on FAO statistics (G4M basis).</w:t>
      </w:r>
    </w:p>
    <w:p w:rsidR="00000000" w:rsidDel="00000000" w:rsidP="00000000" w:rsidRDefault="00000000" w:rsidRPr="00000000" w14:paraId="00000093">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Krasovskiy, A. et al. (2025). ForestNavigator D3.4 — natural disturbances and extreme events impact on forest mitigation potential.</w:t>
      </w:r>
    </w:p>
    <w:p w:rsidR="00000000" w:rsidDel="00000000" w:rsidP="00000000" w:rsidRDefault="00000000" w:rsidRPr="00000000" w14:paraId="00000094">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Lauri, P., Forsell, N., di Fulvio, F. et al. — G4M applications in GLOBIOM/ForestNavigator.</w:t>
      </w:r>
    </w:p>
    <w:p w:rsidR="00000000" w:rsidDel="00000000" w:rsidP="00000000" w:rsidRDefault="00000000" w:rsidRPr="00000000" w14:paraId="00000095">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Leduc, S., Kraxner, F., Schipfer, F. et al. — BeWhere model and bioenergy/forest-industry siting.</w:t>
      </w:r>
    </w:p>
    <w:p w:rsidR="00000000" w:rsidDel="00000000" w:rsidP="00000000" w:rsidRDefault="00000000" w:rsidRPr="00000000" w14:paraId="00000096">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Mönkkönen, M. et al. (2024). Ecologically and economically sustainable level of timber harvesting in boreal forests. </w:t>
      </w:r>
      <w:r w:rsidDel="00000000" w:rsidR="00000000" w:rsidRPr="00000000">
        <w:rPr>
          <w:rFonts w:ascii="Calibri" w:cs="Calibri" w:eastAsia="Calibri" w:hAnsi="Calibri"/>
          <w:i w:val="1"/>
          <w:iCs w:val="1"/>
          <w:rtl w:val="0"/>
        </w:rPr>
        <w:t xml:space="preserve">bioRxiv</w:t>
      </w:r>
      <w:r w:rsidDel="00000000" w:rsidR="00000000" w:rsidRPr="00000000">
        <w:rPr>
          <w:rFonts w:ascii="Calibri" w:cs="Calibri" w:eastAsia="Calibri" w:hAnsi="Calibri"/>
          <w:rtl w:val="0"/>
        </w:rPr>
        <w:t xml:space="preserve"> 2024.06.27.600997.</w:t>
      </w:r>
    </w:p>
    <w:p w:rsidR="00000000" w:rsidDel="00000000" w:rsidP="00000000" w:rsidRDefault="00000000" w:rsidRPr="00000000" w14:paraId="00000097">
      <w:pPr>
        <w:spacing w:after="0" w:lineRule="auto"/>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Patacca, M. et al. (2023). Significant increase in natural disturbance impacts on European forests since 1950. </w:t>
      </w:r>
      <w:r w:rsidDel="00000000" w:rsidR="00000000" w:rsidRPr="00000000">
        <w:rPr>
          <w:rFonts w:ascii="Calibri" w:cs="Calibri" w:eastAsia="Calibri" w:hAnsi="Calibri"/>
          <w:i w:val="1"/>
          <w:iCs w:val="1"/>
          <w:rtl w:val="0"/>
        </w:rPr>
        <w:t xml:space="preserve">Global Change Biology</w:t>
      </w:r>
      <w:r w:rsidDel="00000000" w:rsidR="00000000" w:rsidRPr="00000000">
        <w:rPr>
          <w:rFonts w:ascii="Calibri" w:cs="Calibri" w:eastAsia="Calibri" w:hAnsi="Calibri"/>
          <w:rtl w:val="0"/>
        </w:rPr>
        <w:t xml:space="preserve"> 29(5).</w:t>
      </w:r>
    </w:p>
    <w:p w:rsidR="00000000" w:rsidDel="00000000" w:rsidP="00000000" w:rsidRDefault="00000000" w:rsidRPr="00000000" w14:paraId="00000098">
      <w:pPr>
        <w:ind w:left="36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Venäläinen, A. et al. (2020). Climate change induces multiple risks to boreal forests and forestry in Finland. </w:t>
      </w:r>
      <w:r w:rsidDel="00000000" w:rsidR="00000000" w:rsidRPr="00000000">
        <w:rPr>
          <w:rFonts w:ascii="Calibri" w:cs="Calibri" w:eastAsia="Calibri" w:hAnsi="Calibri"/>
          <w:i w:val="1"/>
          <w:iCs w:val="1"/>
          <w:rtl w:val="0"/>
        </w:rPr>
        <w:t xml:space="preserve">Global Change Biology</w:t>
      </w:r>
      <w:r w:rsidDel="00000000" w:rsidR="00000000" w:rsidRPr="00000000">
        <w:rPr>
          <w:rFonts w:ascii="Calibri" w:cs="Calibri" w:eastAsia="Calibri" w:hAnsi="Calibri"/>
          <w:rtl w:val="0"/>
        </w:rPr>
        <w:t xml:space="preserve"> 26(8).</w:t>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A">
      <w:pPr>
        <w:rPr>
          <w:rFonts w:ascii="Calibri" w:cs="Calibri" w:eastAsia="Calibri" w:hAnsi="Calibri"/>
        </w:rPr>
      </w:pPr>
      <w:r w:rsidDel="00000000" w:rsidR="00000000" w:rsidRPr="00000000">
        <w:rPr>
          <w:rtl w:val="0"/>
        </w:rPr>
      </w:r>
    </w:p>
    <w:sectPr>
      <w:headerReference r:id="rId14" w:type="default"/>
      <w:footerReference r:id="rId15" w:type="default"/>
      <w:pgSz w:h="16838" w:w="11906" w:orient="portrait"/>
      <w:pgMar w:bottom="1020" w:top="1020" w:left="907"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Calibri" w:cs="Calibri" w:eastAsia="Calibri" w:hAnsi="Calibri"/>
      <w:b w:val="1"/>
      <w:bCs w:val="1"/>
      <w:color w:val="1f4e3c"/>
      <w:sz w:val="30"/>
      <w:szCs w:val="30"/>
    </w:rPr>
  </w:style>
  <w:style w:type="paragraph" w:styleId="Heading2">
    <w:name w:val="heading 2"/>
    <w:basedOn w:val="Normal"/>
    <w:next w:val="Normal"/>
    <w:pPr>
      <w:keepNext w:val="1"/>
      <w:keepLines w:val="1"/>
      <w:spacing w:after="80" w:before="200" w:lineRule="auto"/>
    </w:pPr>
    <w:rPr>
      <w:rFonts w:ascii="Calibri" w:cs="Calibri" w:eastAsia="Calibri" w:hAnsi="Calibri"/>
      <w:b w:val="1"/>
      <w:bCs w:val="1"/>
      <w:color w:val="1f4e3c"/>
      <w:sz w:val="25"/>
      <w:szCs w:val="25"/>
    </w:rPr>
  </w:style>
  <w:style w:type="paragraph" w:styleId="Heading3">
    <w:name w:val="heading 3"/>
    <w:basedOn w:val="Normal"/>
    <w:next w:val="Normal"/>
    <w:pPr>
      <w:keepNext w:val="1"/>
      <w:keepLines w:val="1"/>
      <w:spacing w:after="80" w:before="200" w:lineRule="auto"/>
    </w:pPr>
    <w:rPr>
      <w:rFonts w:ascii="Calibri" w:cs="Calibri" w:eastAsia="Calibri" w:hAnsi="Calibri"/>
      <w:b w:val="1"/>
      <w:bCs w:val="1"/>
      <w:color w:val="3c5a48"/>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f4e3c"/>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pPr>
      <w:shd w:color="auto" w:fill="f4f4f4" w:val="clear"/>
      <w:spacing w:after="120" w:before="80"/>
      <w:ind w:left="198" w:right="198"/>
    </w:pPr>
    <w:rPr>
      <w:rFonts w:ascii="Consolas" w:eastAsia="Consolas" w:hAnsi="Consolas"/>
      <w:sz w:val="17"/>
    </w:rPr>
  </w:style>
  <w:style w:type="paragraph" w:styleId="Subtitle">
    <w:name w:val="Subtitle"/>
    <w:basedOn w:val="Normal"/>
    <w:next w:val="Normal"/>
    <w:pPr/>
    <w:rPr>
      <w:rFonts w:ascii="Calibri" w:cs="Calibri" w:eastAsia="Calibri" w:hAnsi="Calibri"/>
      <w:i w:val="1"/>
      <w:iCs w:val="1"/>
      <w:color w:val="505050"/>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chipfer@iiasa.ac.at" TargetMode="External"/><Relationship Id="rId10" Type="http://schemas.openxmlformats.org/officeDocument/2006/relationships/hyperlink" Target="mailto:tiwaris@iiasa.ac.at" TargetMode="External"/><Relationship Id="rId13" Type="http://schemas.openxmlformats.org/officeDocument/2006/relationships/hyperlink" Target="mailto:kraxner@iiasa.ac.at" TargetMode="External"/><Relationship Id="rId12" Type="http://schemas.openxmlformats.org/officeDocument/2006/relationships/hyperlink" Target="mailto:koyoungjin@iiasa.ac.a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rasov@iiasa.ac.at"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arke@iiasa.ac.at" TargetMode="External"/><Relationship Id="rId8" Type="http://schemas.openxmlformats.org/officeDocument/2006/relationships/hyperlink" Target="mailto:johnstone@iiasa.ac.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dlLFpR/32pnTfnU6emzPIaofaA==">CgMxLjAyDmgubGpyZDE3cjQwdWpuMg5oLm01djRmY21mMWVmejIOaC40aTljZGNtY2NoYWgyDmguYzh0aXFjZzRxN2F1Mg5oLm00ZGJzbWV5NTlpdDIOaC5rbmQ1OGlkY3JyMG0yDmguaXBpc2xqNmRtbHpqMg5oLnY1ZzNnazF3a3VhdDIOaC51NDF1NXNkbDRmdXgyDmguNm9ieWk0eXI5YTNvMg5oLjRlMngzMGU0bHA1NjIOaC44a21odTVoaG5yN2I4AHIhMTFYZWNDY0RYQUJQTEZpcjRBc0tVcS1lV3k1ejI1b0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2026-10-02T14:42:00Z</dcterms:created>
  <dc:creator>J. Borde</dc:creator>
</cp:coreProperties>
</file>