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B325" w14:textId="173CCB4B" w:rsidR="0060111E" w:rsidRPr="0060111E" w:rsidRDefault="0060111E">
      <w:pPr>
        <w:rPr>
          <w:color w:val="000000" w:themeColor="text1"/>
          <w:sz w:val="22"/>
          <w:szCs w:val="22"/>
          <w:lang w:val="it-IT"/>
        </w:rPr>
      </w:pPr>
      <w:r w:rsidRPr="0060111E">
        <w:rPr>
          <w:color w:val="000000" w:themeColor="text1"/>
          <w:sz w:val="22"/>
          <w:szCs w:val="22"/>
          <w:lang w:val="it-IT"/>
        </w:rPr>
        <w:t>Dataset work</w:t>
      </w:r>
    </w:p>
    <w:p w14:paraId="634CDB5C" w14:textId="77777777" w:rsidR="0060111E" w:rsidRPr="0060111E" w:rsidRDefault="0060111E" w:rsidP="0060111E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5" w:history="1">
        <w:r w:rsidRPr="0060111E">
          <w:rPr>
            <w:rStyle w:val="Hyperlink"/>
            <w:color w:val="000000" w:themeColor="text1"/>
            <w:sz w:val="22"/>
            <w:szCs w:val="22"/>
          </w:rPr>
          <w:t>dataset_builder.py</w:t>
        </w:r>
      </w:hyperlink>
      <w:r w:rsidRPr="0060111E">
        <w:rPr>
          <w:color w:val="000000" w:themeColor="text1"/>
          <w:sz w:val="22"/>
          <w:szCs w:val="22"/>
        </w:rPr>
        <w:t> now keeps fully EUR-consistent private investment (</w:t>
      </w:r>
      <w:proofErr w:type="spellStart"/>
      <w:r w:rsidRPr="0060111E">
        <w:rPr>
          <w:color w:val="000000" w:themeColor="text1"/>
          <w:sz w:val="22"/>
          <w:szCs w:val="22"/>
        </w:rPr>
        <w:t>gfcf_private</w:t>
      </w:r>
      <w:proofErr w:type="spellEnd"/>
      <w:r w:rsidRPr="0060111E">
        <w:rPr>
          <w:color w:val="000000" w:themeColor="text1"/>
          <w:sz w:val="22"/>
          <w:szCs w:val="22"/>
        </w:rPr>
        <w:t>, gfcf_private_const_2015) and also preserves the raw legacy column as </w:t>
      </w:r>
      <w:proofErr w:type="spellStart"/>
      <w:r w:rsidRPr="0060111E">
        <w:rPr>
          <w:color w:val="000000" w:themeColor="text1"/>
          <w:sz w:val="22"/>
          <w:szCs w:val="22"/>
        </w:rPr>
        <w:t>gfcf_private_legacy_raw</w:t>
      </w:r>
      <w:proofErr w:type="spellEnd"/>
      <w:r w:rsidRPr="0060111E">
        <w:rPr>
          <w:color w:val="000000" w:themeColor="text1"/>
          <w:sz w:val="22"/>
          <w:szCs w:val="22"/>
        </w:rPr>
        <w:t> (exact values from </w:t>
      </w:r>
      <w:hyperlink r:id="rId6" w:history="1">
        <w:r w:rsidRPr="0060111E">
          <w:rPr>
            <w:rStyle w:val="Hyperlink"/>
            <w:color w:val="000000" w:themeColor="text1"/>
            <w:sz w:val="22"/>
            <w:szCs w:val="22"/>
          </w:rPr>
          <w:t>dataset.xls</w:t>
        </w:r>
      </w:hyperlink>
      <w:r w:rsidRPr="0060111E">
        <w:rPr>
          <w:color w:val="000000" w:themeColor="text1"/>
          <w:sz w:val="22"/>
          <w:szCs w:val="22"/>
        </w:rPr>
        <w:t> for documentation).</w:t>
      </w:r>
    </w:p>
    <w:p w14:paraId="1688473E" w14:textId="77777777" w:rsidR="0060111E" w:rsidRPr="0060111E" w:rsidRDefault="0060111E" w:rsidP="0060111E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t>Added </w:t>
      </w:r>
      <w:proofErr w:type="spellStart"/>
      <w:r w:rsidRPr="0060111E">
        <w:rPr>
          <w:color w:val="000000" w:themeColor="text1"/>
          <w:sz w:val="22"/>
          <w:szCs w:val="22"/>
        </w:rPr>
        <w:t>population_legacy_raw</w:t>
      </w:r>
      <w:proofErr w:type="spellEnd"/>
      <w:r w:rsidRPr="0060111E">
        <w:rPr>
          <w:color w:val="000000" w:themeColor="text1"/>
          <w:sz w:val="22"/>
          <w:szCs w:val="22"/>
        </w:rPr>
        <w:t> alongside the Eurostat population series (currently from </w:t>
      </w:r>
      <w:proofErr w:type="spellStart"/>
      <w:r w:rsidRPr="0060111E">
        <w:rPr>
          <w:color w:val="000000" w:themeColor="text1"/>
          <w:sz w:val="22"/>
          <w:szCs w:val="22"/>
        </w:rPr>
        <w:t>demo_gind</w:t>
      </w:r>
      <w:proofErr w:type="spellEnd"/>
      <w:r w:rsidRPr="0060111E">
        <w:rPr>
          <w:color w:val="000000" w:themeColor="text1"/>
          <w:sz w:val="22"/>
          <w:szCs w:val="22"/>
        </w:rPr>
        <w:t>, Jan</w:t>
      </w:r>
      <w:r w:rsidRPr="0060111E">
        <w:rPr>
          <w:color w:val="000000" w:themeColor="text1"/>
          <w:sz w:val="22"/>
          <w:szCs w:val="22"/>
        </w:rPr>
        <w:noBreakHyphen/>
        <w:t>1 stock). Both legacy columns are merged directly from </w:t>
      </w:r>
      <w:hyperlink r:id="rId7" w:history="1">
        <w:r w:rsidRPr="0060111E">
          <w:rPr>
            <w:rStyle w:val="Hyperlink"/>
            <w:color w:val="000000" w:themeColor="text1"/>
            <w:sz w:val="22"/>
            <w:szCs w:val="22"/>
          </w:rPr>
          <w:t>dataset.xls</w:t>
        </w:r>
      </w:hyperlink>
      <w:r w:rsidRPr="0060111E">
        <w:rPr>
          <w:color w:val="000000" w:themeColor="text1"/>
          <w:sz w:val="22"/>
          <w:szCs w:val="22"/>
        </w:rPr>
        <w:t> and verified to match exactly.</w:t>
      </w:r>
    </w:p>
    <w:p w14:paraId="0521E1CE" w14:textId="77777777" w:rsidR="0060111E" w:rsidRPr="0060111E" w:rsidRDefault="0060111E" w:rsidP="0060111E">
      <w:pPr>
        <w:numPr>
          <w:ilvl w:val="0"/>
          <w:numId w:val="1"/>
        </w:num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t>Rebuilt </w:t>
      </w:r>
      <w:hyperlink r:id="rId8" w:history="1">
        <w:r w:rsidRPr="0060111E">
          <w:rPr>
            <w:rStyle w:val="Hyperlink"/>
            <w:color w:val="000000" w:themeColor="text1"/>
            <w:sz w:val="22"/>
            <w:szCs w:val="22"/>
          </w:rPr>
          <w:t>eurostat_green_panel.csv</w:t>
        </w:r>
      </w:hyperlink>
      <w:r w:rsidRPr="0060111E">
        <w:rPr>
          <w:color w:val="000000" w:themeColor="text1"/>
          <w:sz w:val="22"/>
          <w:szCs w:val="22"/>
        </w:rPr>
        <w:t> (868 rows, 1995</w:t>
      </w:r>
      <w:r w:rsidRPr="0060111E">
        <w:rPr>
          <w:color w:val="000000" w:themeColor="text1"/>
          <w:sz w:val="22"/>
          <w:szCs w:val="22"/>
        </w:rPr>
        <w:noBreakHyphen/>
        <w:t>2022). Overlap with the legacy workbook now spans all 833 shared geo</w:t>
      </w:r>
      <w:r w:rsidRPr="0060111E">
        <w:rPr>
          <w:color w:val="000000" w:themeColor="text1"/>
          <w:sz w:val="22"/>
          <w:szCs w:val="22"/>
        </w:rPr>
        <w:noBreakHyphen/>
        <w:t>years; the 35 additional rows are MT 1995</w:t>
      </w:r>
      <w:r w:rsidRPr="0060111E">
        <w:rPr>
          <w:color w:val="000000" w:themeColor="text1"/>
          <w:sz w:val="22"/>
          <w:szCs w:val="22"/>
        </w:rPr>
        <w:noBreakHyphen/>
        <w:t>1999 plus UK 1995</w:t>
      </w:r>
      <w:r w:rsidRPr="0060111E">
        <w:rPr>
          <w:color w:val="000000" w:themeColor="text1"/>
          <w:sz w:val="22"/>
          <w:szCs w:val="22"/>
        </w:rPr>
        <w:noBreakHyphen/>
        <w:t>2022 and BG/RO 2022.</w:t>
      </w:r>
    </w:p>
    <w:p w14:paraId="19E8BEF2" w14:textId="648D87C4" w:rsidR="0060111E" w:rsidRPr="0060111E" w:rsidRDefault="0060111E">
      <w:p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drawing>
          <wp:inline distT="0" distB="0" distL="0" distR="0" wp14:anchorId="249E64A3" wp14:editId="188A2083">
            <wp:extent cx="5943600" cy="3326765"/>
            <wp:effectExtent l="0" t="0" r="0" b="6985"/>
            <wp:docPr id="13068023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0238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327" w14:textId="77777777" w:rsidR="0060111E" w:rsidRPr="0060111E" w:rsidRDefault="0060111E" w:rsidP="0060111E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60111E">
        <w:rPr>
          <w:b/>
          <w:bCs/>
          <w:color w:val="000000" w:themeColor="text1"/>
          <w:sz w:val="22"/>
          <w:szCs w:val="22"/>
        </w:rPr>
        <w:t>Private GFCF:</w:t>
      </w:r>
      <w:r w:rsidRPr="0060111E">
        <w:rPr>
          <w:color w:val="000000" w:themeColor="text1"/>
          <w:sz w:val="22"/>
          <w:szCs w:val="22"/>
        </w:rPr>
        <w:t> The legacy </w:t>
      </w:r>
      <w:proofErr w:type="spellStart"/>
      <w:r w:rsidRPr="0060111E">
        <w:rPr>
          <w:color w:val="000000" w:themeColor="text1"/>
          <w:sz w:val="22"/>
          <w:szCs w:val="22"/>
        </w:rPr>
        <w:t>gfcf</w:t>
      </w:r>
      <w:proofErr w:type="spellEnd"/>
      <w:r w:rsidRPr="0060111E">
        <w:rPr>
          <w:color w:val="000000" w:themeColor="text1"/>
          <w:sz w:val="22"/>
          <w:szCs w:val="22"/>
        </w:rPr>
        <w:t>_ column is stored in national currency units for non</w:t>
      </w:r>
      <w:r w:rsidRPr="0060111E">
        <w:rPr>
          <w:color w:val="000000" w:themeColor="text1"/>
          <w:sz w:val="22"/>
          <w:szCs w:val="22"/>
        </w:rPr>
        <w:noBreakHyphen/>
        <w:t>EMU countries, while the rebuilt series is in constant 2015 EUR millions. Top discrepancies are Hungary 2005</w:t>
      </w:r>
      <w:r w:rsidRPr="0060111E">
        <w:rPr>
          <w:color w:val="000000" w:themeColor="text1"/>
          <w:sz w:val="22"/>
          <w:szCs w:val="22"/>
        </w:rPr>
        <w:noBreakHyphen/>
        <w:t>2022 where the raw values exceed the Eurostat EUR series by ~3 orders of magnitude (ratios ≈0.002). Mean absolute gap for euro members is only €17.9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 xml:space="preserve">bn vs </w:t>
      </w:r>
      <w:r w:rsidRPr="0060111E">
        <w:rPr>
          <w:rFonts w:cs="Aptos"/>
          <w:color w:val="000000" w:themeColor="text1"/>
          <w:sz w:val="22"/>
          <w:szCs w:val="22"/>
        </w:rPr>
        <w:t>€</w:t>
      </w:r>
      <w:r w:rsidRPr="0060111E">
        <w:rPr>
          <w:color w:val="000000" w:themeColor="text1"/>
          <w:sz w:val="22"/>
          <w:szCs w:val="22"/>
        </w:rPr>
        <w:t>982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>bn for non</w:t>
      </w:r>
      <w:r w:rsidRPr="0060111E">
        <w:rPr>
          <w:color w:val="000000" w:themeColor="text1"/>
          <w:sz w:val="22"/>
          <w:szCs w:val="22"/>
        </w:rPr>
        <w:noBreakHyphen/>
        <w:t>EMU, confirming a currency-definition mismatch. The new dataset keeps the EUR-consistent totals and exposes the raw legacy values via</w:t>
      </w:r>
      <w:r w:rsidRPr="0060111E">
        <w:rPr>
          <w:rFonts w:cs="Aptos"/>
          <w:color w:val="000000" w:themeColor="text1"/>
          <w:sz w:val="22"/>
          <w:szCs w:val="22"/>
        </w:rPr>
        <w:t> </w:t>
      </w:r>
      <w:proofErr w:type="spellStart"/>
      <w:r w:rsidRPr="0060111E">
        <w:rPr>
          <w:color w:val="000000" w:themeColor="text1"/>
          <w:sz w:val="22"/>
          <w:szCs w:val="22"/>
        </w:rPr>
        <w:t>gfcf_private_legacy_raw</w:t>
      </w:r>
      <w:proofErr w:type="spellEnd"/>
      <w:r w:rsidRPr="0060111E">
        <w:rPr>
          <w:color w:val="000000" w:themeColor="text1"/>
          <w:sz w:val="22"/>
          <w:szCs w:val="22"/>
        </w:rPr>
        <w:t> for transparency.</w:t>
      </w:r>
    </w:p>
    <w:p w14:paraId="53123F26" w14:textId="77777777" w:rsidR="0060111E" w:rsidRPr="0060111E" w:rsidRDefault="0060111E" w:rsidP="0060111E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60111E">
        <w:rPr>
          <w:b/>
          <w:bCs/>
          <w:color w:val="000000" w:themeColor="text1"/>
          <w:sz w:val="22"/>
          <w:szCs w:val="22"/>
        </w:rPr>
        <w:t>Population:</w:t>
      </w:r>
      <w:r w:rsidRPr="0060111E">
        <w:rPr>
          <w:color w:val="000000" w:themeColor="text1"/>
          <w:sz w:val="22"/>
          <w:szCs w:val="22"/>
        </w:rPr>
        <w:t> Eurostat’s </w:t>
      </w:r>
      <w:proofErr w:type="spellStart"/>
      <w:r w:rsidRPr="0060111E">
        <w:rPr>
          <w:color w:val="000000" w:themeColor="text1"/>
          <w:sz w:val="22"/>
          <w:szCs w:val="22"/>
        </w:rPr>
        <w:t>demo_gind</w:t>
      </w:r>
      <w:proofErr w:type="spellEnd"/>
      <w:r w:rsidRPr="0060111E">
        <w:rPr>
          <w:color w:val="000000" w:themeColor="text1"/>
          <w:sz w:val="22"/>
          <w:szCs w:val="22"/>
        </w:rPr>
        <w:t> (Jan</w:t>
      </w:r>
      <w:r w:rsidRPr="0060111E">
        <w:rPr>
          <w:color w:val="000000" w:themeColor="text1"/>
          <w:sz w:val="22"/>
          <w:szCs w:val="22"/>
        </w:rPr>
        <w:noBreakHyphen/>
        <w:t>1 population, EU statistical territory) diverges from the legacy source, which appears to mix national statistical office figures (e.g., Italy’s pre/post-2011 census revisions, Cyprus counting the whole island). Large gaps: Poland 2021 (-674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>k), Italy 2011-18 (+/-560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>k), Germany 2015/2022 (-489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>k/-561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 xml:space="preserve">k). The new column </w:t>
      </w:r>
      <w:r w:rsidRPr="0060111E">
        <w:rPr>
          <w:color w:val="000000" w:themeColor="text1"/>
          <w:sz w:val="22"/>
          <w:szCs w:val="22"/>
        </w:rPr>
        <w:lastRenderedPageBreak/>
        <w:t>remains the Eurostat definition, while</w:t>
      </w:r>
      <w:r w:rsidRPr="0060111E">
        <w:rPr>
          <w:rFonts w:cs="Aptos"/>
          <w:color w:val="000000" w:themeColor="text1"/>
          <w:sz w:val="22"/>
          <w:szCs w:val="22"/>
        </w:rPr>
        <w:t> </w:t>
      </w:r>
      <w:proofErr w:type="spellStart"/>
      <w:r w:rsidRPr="0060111E">
        <w:rPr>
          <w:color w:val="000000" w:themeColor="text1"/>
          <w:sz w:val="22"/>
          <w:szCs w:val="22"/>
        </w:rPr>
        <w:t>population_legacy_raw</w:t>
      </w:r>
      <w:proofErr w:type="spellEnd"/>
      <w:r w:rsidRPr="0060111E">
        <w:rPr>
          <w:color w:val="000000" w:themeColor="text1"/>
          <w:sz w:val="22"/>
          <w:szCs w:val="22"/>
        </w:rPr>
        <w:t> preserves the workbook values for reference.</w:t>
      </w:r>
    </w:p>
    <w:p w14:paraId="7E0D88CA" w14:textId="77777777" w:rsidR="0060111E" w:rsidRPr="0060111E" w:rsidRDefault="0060111E" w:rsidP="0060111E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60111E">
        <w:rPr>
          <w:b/>
          <w:bCs/>
          <w:color w:val="000000" w:themeColor="text1"/>
          <w:sz w:val="22"/>
          <w:szCs w:val="22"/>
        </w:rPr>
        <w:t>Other series:</w:t>
      </w:r>
      <w:r w:rsidRPr="0060111E">
        <w:rPr>
          <w:color w:val="000000" w:themeColor="text1"/>
          <w:sz w:val="22"/>
          <w:szCs w:val="22"/>
        </w:rPr>
        <w:t> Environmental consumption/investment match within ±€0.1</w:t>
      </w:r>
      <w:r w:rsidRPr="0060111E">
        <w:rPr>
          <w:rFonts w:ascii="Arial" w:hAnsi="Arial" w:cs="Arial"/>
          <w:color w:val="000000" w:themeColor="text1"/>
          <w:sz w:val="22"/>
          <w:szCs w:val="22"/>
        </w:rPr>
        <w:t> </w:t>
      </w:r>
      <w:r w:rsidRPr="0060111E">
        <w:rPr>
          <w:color w:val="000000" w:themeColor="text1"/>
          <w:sz w:val="22"/>
          <w:szCs w:val="22"/>
        </w:rPr>
        <w:t>bn median; GDP per capita differences (~</w:t>
      </w:r>
      <w:r w:rsidRPr="0060111E">
        <w:rPr>
          <w:rFonts w:cs="Aptos"/>
          <w:color w:val="000000" w:themeColor="text1"/>
          <w:sz w:val="22"/>
          <w:szCs w:val="22"/>
        </w:rPr>
        <w:t>€</w:t>
      </w:r>
      <w:r w:rsidRPr="0060111E">
        <w:rPr>
          <w:color w:val="000000" w:themeColor="text1"/>
          <w:sz w:val="22"/>
          <w:szCs w:val="22"/>
        </w:rPr>
        <w:t>59) stem from recomputing missing rows via Eurostat GDP/pop (2015 euros). Interest rates are identical.</w:t>
      </w:r>
    </w:p>
    <w:p w14:paraId="61AA5165" w14:textId="6F293096" w:rsidR="0060111E" w:rsidRDefault="0060111E">
      <w:p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drawing>
          <wp:inline distT="0" distB="0" distL="0" distR="0" wp14:anchorId="1A39E1A1" wp14:editId="74A346C0">
            <wp:extent cx="5943600" cy="4584065"/>
            <wp:effectExtent l="0" t="0" r="0" b="6985"/>
            <wp:docPr id="1283366962" name="Picture 1" descr="A black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6962" name="Picture 1" descr="A black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4AC2" w14:textId="77777777" w:rsidR="0060111E" w:rsidRDefault="0060111E">
      <w:pPr>
        <w:rPr>
          <w:color w:val="000000" w:themeColor="text1"/>
          <w:sz w:val="22"/>
          <w:szCs w:val="22"/>
        </w:rPr>
      </w:pPr>
    </w:p>
    <w:p w14:paraId="1C74908E" w14:textId="77777777" w:rsidR="0060111E" w:rsidRPr="0060111E" w:rsidRDefault="0060111E" w:rsidP="0060111E">
      <w:p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t>Additional Processing Notes</w:t>
      </w:r>
    </w:p>
    <w:p w14:paraId="591983FD" w14:textId="77777777" w:rsidR="0060111E" w:rsidRPr="0060111E" w:rsidRDefault="0060111E" w:rsidP="0060111E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t>Malta (1995</w:t>
      </w:r>
      <w:r w:rsidRPr="0060111E">
        <w:rPr>
          <w:rFonts w:ascii="Cambria Math" w:hAnsi="Cambria Math" w:cs="Cambria Math"/>
          <w:color w:val="000000" w:themeColor="text1"/>
          <w:sz w:val="22"/>
          <w:szCs w:val="22"/>
        </w:rPr>
        <w:t>‑</w:t>
      </w:r>
      <w:r w:rsidRPr="0060111E">
        <w:rPr>
          <w:color w:val="000000" w:themeColor="text1"/>
          <w:sz w:val="22"/>
          <w:szCs w:val="22"/>
        </w:rPr>
        <w:t xml:space="preserve">2020) GDP deflator filled with the manual </w:t>
      </w:r>
      <w:proofErr w:type="spellStart"/>
      <w:r w:rsidRPr="0060111E">
        <w:rPr>
          <w:color w:val="000000" w:themeColor="text1"/>
          <w:sz w:val="22"/>
          <w:szCs w:val="22"/>
        </w:rPr>
        <w:t>IndexMundi</w:t>
      </w:r>
      <w:proofErr w:type="spellEnd"/>
      <w:r w:rsidRPr="0060111E">
        <w:rPr>
          <w:color w:val="000000" w:themeColor="text1"/>
          <w:sz w:val="22"/>
          <w:szCs w:val="22"/>
        </w:rPr>
        <w:t xml:space="preserve"> series before computing constant-price levels for all series.</w:t>
      </w:r>
    </w:p>
    <w:p w14:paraId="42E972CD" w14:textId="77777777" w:rsidR="0060111E" w:rsidRPr="0060111E" w:rsidRDefault="0060111E" w:rsidP="0060111E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proofErr w:type="spellStart"/>
      <w:r w:rsidRPr="0060111E">
        <w:rPr>
          <w:color w:val="000000" w:themeColor="text1"/>
          <w:sz w:val="22"/>
          <w:szCs w:val="22"/>
        </w:rPr>
        <w:t>env_total</w:t>
      </w:r>
      <w:proofErr w:type="spellEnd"/>
      <w:r w:rsidRPr="0060111E">
        <w:rPr>
          <w:color w:val="000000" w:themeColor="text1"/>
          <w:sz w:val="22"/>
          <w:szCs w:val="22"/>
        </w:rPr>
        <w:t xml:space="preserve"> is explicitly recomputed as </w:t>
      </w:r>
      <w:proofErr w:type="spellStart"/>
      <w:r w:rsidRPr="0060111E">
        <w:rPr>
          <w:color w:val="000000" w:themeColor="text1"/>
          <w:sz w:val="22"/>
          <w:szCs w:val="22"/>
        </w:rPr>
        <w:t>env_consumption</w:t>
      </w:r>
      <w:proofErr w:type="spellEnd"/>
      <w:r w:rsidRPr="0060111E">
        <w:rPr>
          <w:color w:val="000000" w:themeColor="text1"/>
          <w:sz w:val="22"/>
          <w:szCs w:val="22"/>
        </w:rPr>
        <w:t xml:space="preserve"> + </w:t>
      </w:r>
      <w:proofErr w:type="spellStart"/>
      <w:r w:rsidRPr="0060111E">
        <w:rPr>
          <w:color w:val="000000" w:themeColor="text1"/>
          <w:sz w:val="22"/>
          <w:szCs w:val="22"/>
        </w:rPr>
        <w:t>env_investment</w:t>
      </w:r>
      <w:proofErr w:type="spellEnd"/>
      <w:r w:rsidRPr="0060111E">
        <w:rPr>
          <w:color w:val="000000" w:themeColor="text1"/>
          <w:sz w:val="22"/>
          <w:szCs w:val="22"/>
        </w:rPr>
        <w:t xml:space="preserve"> (no Eurostat aggregate to avoid transfers). Constant-price conversions use the GDP deflator.</w:t>
      </w:r>
    </w:p>
    <w:p w14:paraId="10E5FFE9" w14:textId="77777777" w:rsidR="0060111E" w:rsidRPr="0060111E" w:rsidRDefault="0060111E" w:rsidP="0060111E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t xml:space="preserve">Private investment is derived as </w:t>
      </w:r>
      <w:proofErr w:type="spellStart"/>
      <w:r w:rsidRPr="0060111E">
        <w:rPr>
          <w:color w:val="000000" w:themeColor="text1"/>
          <w:sz w:val="22"/>
          <w:szCs w:val="22"/>
        </w:rPr>
        <w:t>gfcf_total</w:t>
      </w:r>
      <w:proofErr w:type="spellEnd"/>
      <w:r w:rsidRPr="0060111E">
        <w:rPr>
          <w:color w:val="000000" w:themeColor="text1"/>
          <w:sz w:val="22"/>
          <w:szCs w:val="22"/>
        </w:rPr>
        <w:t xml:space="preserve"> - </w:t>
      </w:r>
      <w:proofErr w:type="spellStart"/>
      <w:r w:rsidRPr="0060111E">
        <w:rPr>
          <w:color w:val="000000" w:themeColor="text1"/>
          <w:sz w:val="22"/>
          <w:szCs w:val="22"/>
        </w:rPr>
        <w:t>gfcf_public</w:t>
      </w:r>
      <w:proofErr w:type="spellEnd"/>
      <w:r w:rsidRPr="0060111E">
        <w:rPr>
          <w:color w:val="000000" w:themeColor="text1"/>
          <w:sz w:val="22"/>
          <w:szCs w:val="22"/>
        </w:rPr>
        <w:t xml:space="preserve"> in both nominal and constant prices; the raw legacy column remains for audit (</w:t>
      </w:r>
      <w:proofErr w:type="spellStart"/>
      <w:r w:rsidRPr="0060111E">
        <w:rPr>
          <w:color w:val="000000" w:themeColor="text1"/>
          <w:sz w:val="22"/>
          <w:szCs w:val="22"/>
        </w:rPr>
        <w:t>gfcf_private_legacy_raw</w:t>
      </w:r>
      <w:proofErr w:type="spellEnd"/>
      <w:r w:rsidRPr="0060111E">
        <w:rPr>
          <w:color w:val="000000" w:themeColor="text1"/>
          <w:sz w:val="22"/>
          <w:szCs w:val="22"/>
        </w:rPr>
        <w:t>).</w:t>
      </w:r>
    </w:p>
    <w:p w14:paraId="5E9474F2" w14:textId="62975486" w:rsidR="0060111E" w:rsidRPr="0060111E" w:rsidRDefault="0060111E" w:rsidP="0060111E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60111E">
        <w:rPr>
          <w:color w:val="000000" w:themeColor="text1"/>
          <w:sz w:val="22"/>
          <w:szCs w:val="22"/>
        </w:rPr>
        <w:t xml:space="preserve">New dataset includes </w:t>
      </w:r>
      <w:proofErr w:type="spellStart"/>
      <w:r w:rsidRPr="0060111E">
        <w:rPr>
          <w:color w:val="000000" w:themeColor="text1"/>
          <w:sz w:val="22"/>
          <w:szCs w:val="22"/>
        </w:rPr>
        <w:t>population_legacy_raw</w:t>
      </w:r>
      <w:proofErr w:type="spellEnd"/>
      <w:r w:rsidRPr="0060111E">
        <w:rPr>
          <w:color w:val="000000" w:themeColor="text1"/>
          <w:sz w:val="22"/>
          <w:szCs w:val="22"/>
        </w:rPr>
        <w:t xml:space="preserve"> to carry forward the workbook’s population concept without influencing the Eurostat-based per-capita calculations.</w:t>
      </w:r>
    </w:p>
    <w:sectPr w:rsidR="0060111E" w:rsidRPr="00601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8E0"/>
    <w:multiLevelType w:val="hybridMultilevel"/>
    <w:tmpl w:val="C1E64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84C0E"/>
    <w:multiLevelType w:val="multilevel"/>
    <w:tmpl w:val="081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6522E"/>
    <w:multiLevelType w:val="multilevel"/>
    <w:tmpl w:val="ED22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94670">
    <w:abstractNumId w:val="1"/>
  </w:num>
  <w:num w:numId="2" w16cid:durableId="286392823">
    <w:abstractNumId w:val="2"/>
  </w:num>
  <w:num w:numId="3" w16cid:durableId="41505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1E"/>
    <w:rsid w:val="0060111E"/>
    <w:rsid w:val="007412C4"/>
    <w:rsid w:val="00AB0F63"/>
    <w:rsid w:val="00CD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5D1C"/>
  <w15:chartTrackingRefBased/>
  <w15:docId w15:val="{51DFA410-B5C9-466C-9CD8-A1F61AC7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1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borde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borde/AppData/Local/Programs/Microsoft%20VS%20Cod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borde/AppData/Local/Programs/Microsoft%20VS%20Cod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borde/AppData/Local/Programs/Microsoft%20VS%20Code/resources/app/out/vs/code/electron-browser/workbench/workbench.html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RENÉ GASTON BORDENAVE</dc:creator>
  <cp:keywords/>
  <dc:description/>
  <cp:lastModifiedBy>MATTHIEU RENÉ GASTON BORDENAVE</cp:lastModifiedBy>
  <cp:revision>1</cp:revision>
  <dcterms:created xsi:type="dcterms:W3CDTF">2025-12-08T16:14:00Z</dcterms:created>
  <dcterms:modified xsi:type="dcterms:W3CDTF">2025-12-08T16:23:00Z</dcterms:modified>
</cp:coreProperties>
</file>