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3864"/>
          <w:sz w:val="52"/>
          <w:szCs w:val="52"/>
        </w:rPr>
        <w:t xml:space="preserve">EngineerAero</w:t>
      </w:r>
    </w:p>
    <w:p>
      <w:pPr>
        <w:spacing w:after="60" w:before="60"/>
        <w:jc w:val="center"/>
      </w:pPr>
      <w:r>
        <w:rPr>
          <w:rFonts w:ascii="Arial" w:cs="Arial" w:eastAsia="Arial" w:hAnsi="Arial"/>
          <w:color w:val="2E5090"/>
          <w:sz w:val="36"/>
          <w:szCs w:val="36"/>
        </w:rPr>
        <w:t xml:space="preserve">Cahier des charges technique</w:t>
      </w:r>
    </w:p>
    <w:p>
      <w:pPr>
        <w:spacing w:after="60" w:before="60"/>
        <w:jc w:val="center"/>
      </w:pPr>
      <w:r>
        <w:rPr>
          <w:rFonts w:ascii="Arial" w:cs="Arial" w:eastAsia="Arial" w:hAnsi="Arial"/>
          <w:i/>
          <w:iCs/>
          <w:color w:val="555555"/>
          <w:sz w:val="28"/>
          <w:szCs w:val="28"/>
        </w:rPr>
        <w:t xml:space="preserve">Infrastructure Souverainete &amp; Resilience</w:t>
      </w:r>
    </w:p>
    <w:p>
      <w:pPr>
        <w:spacing w:after="60" w:before="60"/>
      </w:pPr>
      <w:r>
        <w:t xml:space="preserve"/>
      </w:r>
    </w:p>
    <w:p>
      <w:pPr>
        <w:spacing w:after="60" w:before="60"/>
        <w:jc w:val="center"/>
      </w:pPr>
      <w:r>
        <w:rPr>
          <w:rFonts w:ascii="Arial" w:cs="Arial" w:eastAsia="Arial" w:hAnsi="Arial"/>
          <w:color w:val="777777"/>
          <w:sz w:val="22"/>
          <w:szCs w:val="22"/>
        </w:rPr>
        <w:t xml:space="preserve">Prestataire : Stargate Systeme  |  Projet TSSR  |  Avril 2025</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Budget total HT</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RPO valide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Utilisateurs</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Niveau alerte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36 810 EUR</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 heures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20 ingenieurs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75% - Critique</w:t>
            </w:r>
          </w:p>
        </w:tc>
      </w:tr>
    </w:tbl>
    <w:p>
      <w:pPr>
        <w:spacing w:after="60" w:before="60"/>
      </w:pPr>
      <w:r>
        <w:t xml:space="preserve"/>
      </w:r>
    </w:p>
    <w:p>
      <w:r>
        <w:br w:type="page"/>
      </w:r>
    </w:p>
    <w:p>
      <w:pPr>
        <w:pStyle w:val="Heading1"/>
        <w:spacing w:after="120" w:before="360"/>
      </w:pPr>
      <w:r>
        <w:rPr>
          <w:rFonts w:ascii="Arial" w:cs="Arial" w:eastAsia="Arial" w:hAnsi="Arial"/>
          <w:b/>
          <w:bCs/>
          <w:color w:val="1F3864"/>
          <w:sz w:val="32"/>
          <w:szCs w:val="32"/>
        </w:rPr>
        <w:t xml:space="preserve">Partie 1 — Contexte et diagnostic</w:t>
      </w:r>
    </w:p>
    <w:p>
      <w:pPr>
        <w:pStyle w:val="Heading2"/>
        <w:spacing w:after="80" w:before="240"/>
      </w:pPr>
      <w:r>
        <w:rPr>
          <w:rFonts w:ascii="Arial" w:cs="Arial" w:eastAsia="Arial" w:hAnsi="Arial"/>
          <w:b/>
          <w:bCs/>
          <w:color w:val="2E5090"/>
          <w:sz w:val="26"/>
          <w:szCs w:val="26"/>
        </w:rPr>
        <w:t xml:space="preserve">1. Diagnostic du NAS existant</w:t>
      </w:r>
    </w:p>
    <w:p>
      <w:pPr>
        <w:spacing w:after="60" w:before="180"/>
      </w:pPr>
      <w:r>
        <w:rPr>
          <w:rFonts w:ascii="Arial" w:cs="Arial" w:eastAsia="Arial" w:hAnsi="Arial"/>
          <w:b/>
          <w:bCs/>
          <w:color w:val="333333"/>
          <w:sz w:val="24"/>
          <w:szCs w:val="24"/>
        </w:rPr>
        <w:t xml:space="preserve">1.1 Etat des lieux</w:t>
      </w:r>
    </w:p>
    <w:p>
      <w:pPr>
        <w:spacing w:after="60" w:before="60"/>
      </w:pPr>
      <w:r>
        <w:rPr>
          <w:rFonts w:ascii="Arial" w:cs="Arial" w:eastAsia="Arial" w:hAnsi="Arial"/>
          <w:sz w:val="22"/>
          <w:szCs w:val="22"/>
        </w:rPr>
        <w:t xml:space="preserve">Le NAS actuellement en service est utilise a 75% de sa capacite (12 To sur 16 To disponibles). En deca de 20% d'espace libre, les performances se degradent sensiblement et le risque de saturation devient imminent. Une action corrective s'impose.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Parametre</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Valeur actuelle</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Capacite totale</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16 To</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Volume utilise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To (75%)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Critique</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Espace disponible</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 To (25%)</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Insuffisant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Utilisateurs simultanes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ingenieurs (pics a 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Acces fichiers 3D</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Acces direct concurrent, fichiers jusqu'a 100 Mo</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Impact perf.</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Configuration RAID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RAID 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Aucune redondance</w:t>
            </w:r>
          </w:p>
        </w:tc>
      </w:tr>
    </w:tbl>
    <w:p>
      <w:pPr>
        <w:spacing w:after="60" w:before="60"/>
      </w:pPr>
      <w:r>
        <w:t xml:space="preserve"/>
      </w:r>
    </w:p>
    <w:p>
      <w:pPr>
        <w:spacing w:after="60" w:before="60"/>
      </w:pPr>
      <w:r>
        <w:rPr>
          <w:rFonts w:ascii="Arial" w:cs="Arial" w:eastAsia="Arial" w:hAnsi="Arial"/>
          <w:sz w:val="22"/>
          <w:szCs w:val="22"/>
        </w:rPr>
        <w:t xml:space="preserve">Le RAID 0 ne tolere aucune panne disque. Un seul disque defaillant entraine la perte totale des donnees. Pour EngineerAero — dont le patrimoine repose sur des plans 3D, des dossiers projets et des reponses a appels d'offres — cette configuration doit etre abandonnee immediatement.</w:t>
      </w:r>
    </w:p>
    <w:p>
      <w:pPr>
        <w:spacing w:after="60" w:before="60"/>
      </w:pPr>
      <w:r>
        <w:t xml:space="preserve"/>
      </w:r>
    </w:p>
    <w:p>
      <w:pPr>
        <w:pStyle w:val="Heading2"/>
        <w:spacing w:after="80" w:before="240"/>
      </w:pPr>
      <w:r>
        <w:rPr>
          <w:rFonts w:ascii="Arial" w:cs="Arial" w:eastAsia="Arial" w:hAnsi="Arial"/>
          <w:b/>
          <w:bCs/>
          <w:color w:val="2E5090"/>
          <w:sz w:val="26"/>
          <w:szCs w:val="26"/>
        </w:rPr>
        <w:t xml:space="preserve">2. Solution retenue : RAID 6</w:t>
      </w:r>
    </w:p>
    <w:p>
      <w:pPr>
        <w:spacing w:after="60" w:before="180"/>
      </w:pPr>
      <w:r>
        <w:rPr>
          <w:rFonts w:ascii="Arial" w:cs="Arial" w:eastAsia="Arial" w:hAnsi="Arial"/>
          <w:b/>
          <w:bCs/>
          <w:color w:val="333333"/>
          <w:sz w:val="24"/>
          <w:szCs w:val="24"/>
        </w:rPr>
        <w:t xml:space="preserve">2.1 Principe et avantages</w:t>
      </w:r>
    </w:p>
    <w:p>
      <w:pPr>
        <w:spacing w:after="60" w:before="60"/>
      </w:pPr>
      <w:r>
        <w:rPr>
          <w:rFonts w:ascii="Arial" w:cs="Arial" w:eastAsia="Arial" w:hAnsi="Arial"/>
          <w:sz w:val="22"/>
          <w:szCs w:val="22"/>
        </w:rPr>
        <w:t xml:space="preserve">Le RAID 6 repose sur une segmentation avec double parite. Deux blocs de parite distincts sont calcules et stockes sur des disques differents, ce qui permet de tolerer la panne simultanee de deux disques sans perte de donnees. Par comparaison, le RAID 5 n'en tolere qu'un seul — insuffisant pour des disques de grande capacite dont la reconstruction peut durer plusieurs heures, exposant l'infrastructure a un second incident pendant cette periode.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Niveau RAID</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Tolerance pannes</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Capacite utile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RAID 0</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Aucune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100%</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Ecarte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RAID 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disque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Ecarte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RAID 6</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 disques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N-2</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Retenu</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RAID 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par paire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Ecarte (cout)</w:t>
            </w:r>
          </w:p>
        </w:tc>
      </w:tr>
    </w:tbl>
    <w:p>
      <w:pPr>
        <w:spacing w:after="60" w:before="60"/>
      </w:pPr>
      <w:r>
        <w:t xml:space="preserve"/>
      </w:r>
    </w:p>
    <w:p>
      <w:pPr>
        <w:spacing w:after="60" w:before="60"/>
      </w:pPr>
      <w:r>
        <w:rPr>
          <w:rFonts w:ascii="Arial" w:cs="Arial" w:eastAsia="Arial" w:hAnsi="Arial"/>
          <w:sz w:val="22"/>
          <w:szCs w:val="22"/>
        </w:rPr>
        <w:t xml:space="preserve">Formule de calcite utile RAID 6 : (N - 2) x taille d'un disque</w:t>
      </w:r>
    </w:p>
    <w:p>
      <w:pPr>
        <w:spacing w:after="60" w:before="60"/>
      </w:pPr>
      <w:r>
        <w:t xml:space="preserve"/>
      </w:r>
    </w:p>
    <w:tbl>
      <w:tblPr>
        <w:tblW w:type="dxa" w:w="8424"/>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1404"/>
        <w:gridCol w:w="1404"/>
      </w:tblGrid>
      <w:tr>
        <w:trPr>
          <w:tblHeader/>
        </w:trPr>
        <w:tc>
          <w:tcPr>
            <w:tcW w:type="dxa" w:w="2808"/>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1404"/>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Disques</w:t>
            </w:r>
          </w:p>
        </w:tc>
        <w:tc>
          <w:tcPr>
            <w:tcW w:type="dxa" w:w="1404"/>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Taille/disque</w:t>
            </w:r>
          </w:p>
        </w:tc>
        <w:tc>
          <w:tcPr>
            <w:tcW w:type="dxa" w:w="1404"/>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Formule</w:t>
            </w:r>
          </w:p>
        </w:tc>
        <w:tc>
          <w:tcPr>
            <w:tcW w:type="dxa" w:w="1404"/>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Capacite utile</w:t>
            </w:r>
          </w:p>
        </w:tc>
      </w:tr>
      <w:tr>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Option 1 - DS1823xs+</w:t>
            </w:r>
          </w:p>
        </w:tc>
        <w:tc>
          <w:tcPr>
            <w:tcW w:type="dxa" w:w="140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w:t>
            </w:r>
          </w:p>
        </w:tc>
        <w:tc>
          <w:tcPr>
            <w:tcW w:type="dxa" w:w="140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8 To</w:t>
            </w:r>
          </w:p>
        </w:tc>
        <w:tc>
          <w:tcPr>
            <w:tcW w:type="dxa" w:w="140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(6-2) x 8</w:t>
            </w:r>
          </w:p>
        </w:tc>
        <w:tc>
          <w:tcPr>
            <w:tcW w:type="dxa" w:w="140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32 To</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 2 - DS3622xs+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To</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(8-2) x 8</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 To</w:t>
            </w:r>
          </w:p>
        </w:tc>
      </w:tr>
    </w:tbl>
    <w:p>
      <w:pPr>
        <w:spacing w:after="60" w:before="60"/>
      </w:pPr>
      <w:r>
        <w:t xml:space="preserve"/>
      </w:r>
    </w:p>
    <w:p>
      <w:pPr>
        <w:pStyle w:val="Heading2"/>
        <w:spacing w:after="80" w:before="240"/>
      </w:pPr>
      <w:r>
        <w:rPr>
          <w:rFonts w:ascii="Arial" w:cs="Arial" w:eastAsia="Arial" w:hAnsi="Arial"/>
          <w:b/>
          <w:bCs/>
          <w:color w:val="2E5090"/>
          <w:sz w:val="26"/>
          <w:szCs w:val="26"/>
        </w:rPr>
        <w:t xml:space="preserve">3. Dimensionnement sur 5 ans</w:t>
      </w:r>
    </w:p>
    <w:p>
      <w:pPr>
        <w:spacing w:after="60" w:before="60"/>
      </w:pPr>
      <w:r>
        <w:rPr>
          <w:rFonts w:ascii="Arial" w:cs="Arial" w:eastAsia="Arial" w:hAnsi="Arial"/>
          <w:sz w:val="22"/>
          <w:szCs w:val="22"/>
        </w:rPr>
        <w:t xml:space="preserve">Hypothese retenue : croissance annuelle de 20%, alignee sur les standards d'une PME aeronautique en developpement.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Annee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Volume estime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Option 1 - 32 To</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Option 2 - 48 To</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2025</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12,0 To</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37%</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14,4 To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2027</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17,3 To</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54%</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20,7 To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2029</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24,9 To</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78% (alerte)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29,9 To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Saturation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62%</w:t>
            </w:r>
          </w:p>
        </w:tc>
      </w:tr>
    </w:tbl>
    <w:p>
      <w:pPr>
        <w:spacing w:after="60" w:before="60"/>
      </w:pPr>
      <w:r>
        <w:t xml:space="preserve"/>
      </w:r>
    </w:p>
    <w:p>
      <w:pPr>
        <w:spacing w:after="60" w:before="60"/>
      </w:pPr>
      <w:r>
        <w:rPr>
          <w:rFonts w:ascii="Arial" w:cs="Arial" w:eastAsia="Arial" w:hAnsi="Arial"/>
          <w:sz w:val="22"/>
          <w:szCs w:val="22"/>
        </w:rPr>
        <w:t xml:space="preserve">L'option 1 (32 To) couvre environ 4 ans avant saturation. L'option 2 (48 To) depasse 5 ans sans intervention materielle — elle constitue l'investissement le plus pertinent pour un usage intensif en CAO.</w:t>
      </w:r>
    </w:p>
    <w:p>
      <w:r>
        <w:br w:type="page"/>
      </w:r>
    </w:p>
    <w:p>
      <w:pPr>
        <w:pStyle w:val="Heading1"/>
        <w:spacing w:after="120" w:before="360"/>
      </w:pPr>
      <w:r>
        <w:rPr>
          <w:rFonts w:ascii="Arial" w:cs="Arial" w:eastAsia="Arial" w:hAnsi="Arial"/>
          <w:b/>
          <w:bCs/>
          <w:color w:val="1F3864"/>
          <w:sz w:val="32"/>
          <w:szCs w:val="32"/>
        </w:rPr>
        <w:t xml:space="preserve">Partie 2 — Architecture technique</w:t>
      </w:r>
    </w:p>
    <w:p>
      <w:pPr>
        <w:pStyle w:val="Heading2"/>
        <w:spacing w:after="80" w:before="240"/>
      </w:pPr>
      <w:r>
        <w:rPr>
          <w:rFonts w:ascii="Arial" w:cs="Arial" w:eastAsia="Arial" w:hAnsi="Arial"/>
          <w:b/>
          <w:bCs/>
          <w:color w:val="2E5090"/>
          <w:sz w:val="26"/>
          <w:szCs w:val="26"/>
        </w:rPr>
        <w:t xml:space="preserve">4. Stockage NAS</w:t>
      </w:r>
    </w:p>
    <w:p>
      <w:pPr>
        <w:spacing w:after="60" w:before="180"/>
      </w:pPr>
      <w:r>
        <w:rPr>
          <w:rFonts w:ascii="Arial" w:cs="Arial" w:eastAsia="Arial" w:hAnsi="Arial"/>
          <w:b/>
          <w:bCs/>
          <w:color w:val="333333"/>
          <w:sz w:val="24"/>
          <w:szCs w:val="24"/>
        </w:rPr>
        <w:t xml:space="preserve">Option 1 — Synology DS1823xs+ (budget contraint)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Parametre</w:t>
            </w:r>
          </w:p>
        </w:tc>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RAID</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RAID 6 — 6 x Seagate IronWolf Pro 8 To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Capacite utile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 To (2 baies libres)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Processeur</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AMD Ryzen V1780B — 4c/8t — 3,35 GHz</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Go DDR4 ECC extensible a 32 Go</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Reseau</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2x 1 GbE + 1x 10 GbE natif + slot PCIe x8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 NVMe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slots M.2 integres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Total HT</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~3 200 EUR</w:t>
            </w:r>
          </w:p>
        </w:tc>
      </w:tr>
    </w:tbl>
    <w:p>
      <w:pPr>
        <w:spacing w:after="60" w:before="60"/>
      </w:pPr>
      <w:r>
        <w:t xml:space="preserve"/>
      </w:r>
    </w:p>
    <w:p>
      <w:pPr>
        <w:spacing w:after="60" w:before="180"/>
      </w:pPr>
      <w:r>
        <w:rPr>
          <w:rFonts w:ascii="Arial" w:cs="Arial" w:eastAsia="Arial" w:hAnsi="Arial"/>
          <w:b/>
          <w:bCs/>
          <w:color w:val="333333"/>
          <w:sz w:val="24"/>
          <w:szCs w:val="24"/>
        </w:rPr>
        <w:t xml:space="preserve">Option 2 — Synology DS3622xs+ (recommandee)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Parametre</w:t>
            </w:r>
          </w:p>
        </w:tc>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RAID</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RAID 6 — 8 x Seagate IronWolf Pro 8 To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Capacite utile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 To (4 baies libres)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Processeur</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Intel Xeon D-1531 — 6c/12t — 2,2 GHz</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Go DDR4 ECC extensible a 48 Go</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Reseau</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2x 10 GbE + 2x 1 GbE natifs — LACP pret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 NVMe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slots M.2 integres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Total HT</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~4 900 EUR</w:t>
            </w:r>
          </w:p>
        </w:tc>
      </w:tr>
    </w:tbl>
    <w:p>
      <w:pPr>
        <w:spacing w:after="60" w:before="60"/>
      </w:pPr>
      <w:r>
        <w:t xml:space="preserve"/>
      </w:r>
    </w:p>
    <w:p>
      <w:pPr>
        <w:spacing w:after="60" w:before="60"/>
      </w:pPr>
      <w:r>
        <w:rPr>
          <w:rFonts w:ascii="Arial" w:cs="Arial" w:eastAsia="Arial" w:hAnsi="Arial"/>
          <w:sz w:val="22"/>
          <w:szCs w:val="22"/>
        </w:rPr>
        <w:t xml:space="preserve">Le DS3622xs+ est recommande pour l'usage intensif de fichiers 3D jusqu'a 100 Mo par 15 ingenieurs en acces concurrent. Ses deux ports 10 GbE natifs en LACP eliminent tout goulot d'etranglement reseau et son horizon de couverture depasse 5 ans sans intervention.</w:t>
      </w:r>
    </w:p>
    <w:p>
      <w:pPr>
        <w:spacing w:after="60" w:before="60"/>
      </w:pPr>
      <w:r>
        <w:t xml:space="preserve"/>
      </w:r>
    </w:p>
    <w:p>
      <w:pPr>
        <w:pStyle w:val="Heading2"/>
        <w:spacing w:after="80" w:before="240"/>
      </w:pPr>
      <w:r>
        <w:rPr>
          <w:rFonts w:ascii="Arial" w:cs="Arial" w:eastAsia="Arial" w:hAnsi="Arial"/>
          <w:b/>
          <w:bCs/>
          <w:color w:val="2E5090"/>
          <w:sz w:val="26"/>
          <w:szCs w:val="26"/>
        </w:rPr>
        <w:t xml:space="preserve">5. Infrastructure serveurs et calcul — 2CRSi OC-2100</w:t>
      </w:r>
    </w:p>
    <w:p>
      <w:pPr>
        <w:spacing w:after="60" w:before="60"/>
      </w:pPr>
      <w:r>
        <w:rPr>
          <w:rFonts w:ascii="Arial" w:cs="Arial" w:eastAsia="Arial" w:hAnsi="Arial"/>
          <w:sz w:val="22"/>
          <w:szCs w:val="22"/>
        </w:rPr>
        <w:t xml:space="preserve">L'infrastructure serveurs repose sur deux 2CRSi OC-2100 configures en cluster Haute Disponibilite sous Proxmox VE. Les machines virtuelles essentielles — Active Directory, serveur de fichiers, GLPI — s'executent sur ce cluster avec basculement automatique en cas de panne d'un noeud. Le stockage des VMs est assure par le NAS en NFS ou iSCSI, permettant aux deux noeuds d'y acceder simultanement.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Parametre</w:t>
            </w:r>
          </w:p>
        </w:tc>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Modele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2CRSi OC-2100 — Fabrique a Strasbourg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Cluster HA Actif/Passif — Proxmox VE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Stockage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Full NVMe — IOPS maximises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VMs hebergees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Directory, Serveur de fichiers, GLPI</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Hyperviseur</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Proxmox VE — open-source europeen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serveurs (N+1)</w:t>
            </w:r>
          </w:p>
        </w:tc>
      </w:tr>
    </w:tbl>
    <w:p>
      <w:pPr>
        <w:spacing w:after="60" w:before="60"/>
      </w:pPr>
      <w:r>
        <w:t xml:space="preserve"/>
      </w:r>
    </w:p>
    <w:p>
      <w:pPr>
        <w:pStyle w:val="Heading2"/>
        <w:spacing w:after="80" w:before="240"/>
      </w:pPr>
      <w:r>
        <w:rPr>
          <w:rFonts w:ascii="Arial" w:cs="Arial" w:eastAsia="Arial" w:hAnsi="Arial"/>
          <w:b/>
          <w:bCs/>
          <w:color w:val="2E5090"/>
          <w:sz w:val="26"/>
          <w:szCs w:val="26"/>
        </w:rPr>
        <w:t xml:space="preserve">6. Architecture reseau — Alcatel-Lucent OS6560</w:t>
      </w:r>
    </w:p>
    <w:p>
      <w:pPr>
        <w:spacing w:after="60" w:before="60"/>
      </w:pPr>
      <w:r>
        <w:rPr>
          <w:rFonts w:ascii="Arial" w:cs="Arial" w:eastAsia="Arial" w:hAnsi="Arial"/>
          <w:sz w:val="22"/>
          <w:szCs w:val="22"/>
        </w:rPr>
        <w:t xml:space="preserve">Le reseau est assure par deux Alcatel-Lucent OmniSwitch OS6560-P48X4 configures en Virtual Chassis — ils fonctionnent comme une seule entite logique, garantissant la continuite du reseau si l'un des deux appareils defaille. Les liaisons montantes 10 Gbps SFP+ desservent les serveurs et le NAS sans saturation meme lors des acces simultanes aux fichiers 3D. La segmentation en VLANs (Ingenierie, Administration, Invites, Management) isole les flux et limite la surface d'attaque.</w:t>
      </w:r>
    </w:p>
    <w:p>
      <w:pPr>
        <w:spacing w:after="60" w:before="60"/>
      </w:pPr>
      <w:r>
        <w:t xml:space="preserve"/>
      </w:r>
    </w:p>
    <w:p>
      <w:pPr>
        <w:pStyle w:val="Heading2"/>
        <w:spacing w:after="80" w:before="240"/>
      </w:pPr>
      <w:r>
        <w:rPr>
          <w:rFonts w:ascii="Arial" w:cs="Arial" w:eastAsia="Arial" w:hAnsi="Arial"/>
          <w:b/>
          <w:bCs/>
          <w:color w:val="2E5090"/>
          <w:sz w:val="26"/>
          <w:szCs w:val="26"/>
        </w:rPr>
        <w:t xml:space="preserve">7. Securite perimetrique — Stormshield SN220</w:t>
      </w:r>
    </w:p>
    <w:p>
      <w:pPr>
        <w:spacing w:after="60" w:before="60"/>
      </w:pPr>
      <w:r>
        <w:rPr>
          <w:rFonts w:ascii="Arial" w:cs="Arial" w:eastAsia="Arial" w:hAnsi="Arial"/>
          <w:sz w:val="22"/>
          <w:szCs w:val="22"/>
        </w:rPr>
        <w:t xml:space="preserve">La protection perimetrique est confiee a deux Stormshield SN220 en cluster Actif/Passif. Ce choix est motive par la certification ANSSI niveau Diffusion Restreinte du produit, exigee par les donneurs d'ordre aeronautiques (Airbus, Safran, DGA) aupres de leurs sous-traitants. Le moteur IPS proprietaire ASQ analyse les flux en profondeur sans degrader les performances. Les fonctions VPN IPsec/SSL, filtrage URL, antivirus et IDS/IPS sont activees nativement.</w:t>
      </w:r>
    </w:p>
    <w:p>
      <w:pPr>
        <w:spacing w:after="60" w:before="60"/>
      </w:pPr>
      <w:r>
        <w:t xml:space="preserve"/>
      </w:r>
    </w:p>
    <w:p>
      <w:pPr>
        <w:pStyle w:val="Heading2"/>
        <w:spacing w:after="80" w:before="240"/>
      </w:pPr>
      <w:r>
        <w:rPr>
          <w:rFonts w:ascii="Arial" w:cs="Arial" w:eastAsia="Arial" w:hAnsi="Arial"/>
          <w:b/>
          <w:bCs/>
          <w:color w:val="2E5090"/>
          <w:sz w:val="26"/>
          <w:szCs w:val="26"/>
        </w:rPr>
        <w:t xml:space="preserve">8. Protection physique — Baie 24U climatisee</w:t>
      </w:r>
    </w:p>
    <w:p>
      <w:pPr>
        <w:spacing w:after="60" w:before="60"/>
      </w:pPr>
      <w:r>
        <w:rPr>
          <w:rFonts w:ascii="Arial" w:cs="Arial" w:eastAsia="Arial" w:hAnsi="Arial"/>
          <w:sz w:val="22"/>
          <w:szCs w:val="22"/>
        </w:rPr>
        <w:t xml:space="preserve">L'ensemble des composants actifs (serveurs, NAS, switchs, pare-feux) est installe dans une baie 24U equipee d'un groupe froid maintenant une temperature constante de 20 degres, avec une protection IP54. Le cout de la baie est inferieur a celui du remplacement d'un seul serveur en panne par surchauffe, ce qui justifie l'investissement immediatement.</w:t>
      </w:r>
    </w:p>
    <w:p>
      <w:pPr>
        <w:spacing w:after="60" w:before="60"/>
      </w:pPr>
      <w:r>
        <w:t xml:space="preserve"/>
      </w:r>
    </w:p>
    <w:p>
      <w:pPr>
        <w:pStyle w:val="Heading2"/>
        <w:spacing w:after="80" w:before="240"/>
      </w:pPr>
      <w:r>
        <w:rPr>
          <w:rFonts w:ascii="Arial" w:cs="Arial" w:eastAsia="Arial" w:hAnsi="Arial"/>
          <w:b/>
          <w:bCs/>
          <w:color w:val="2E5090"/>
          <w:sz w:val="26"/>
          <w:szCs w:val="26"/>
        </w:rPr>
        <w:t xml:space="preserve">9. Connectivite — Fibre Orange FTTO dediee</w:t>
      </w:r>
    </w:p>
    <w:p>
      <w:pPr>
        <w:spacing w:after="60" w:before="60"/>
      </w:pPr>
      <w:r>
        <w:rPr>
          <w:rFonts w:ascii="Arial" w:cs="Arial" w:eastAsia="Arial" w:hAnsi="Arial"/>
          <w:sz w:val="22"/>
          <w:szCs w:val="22"/>
        </w:rPr>
        <w:t xml:space="preserve">La connectivite externe repose sur une fibre FTTO (Fibre Till The Office) dediee Orange Pro, a debit symetrique garanti avec une GTR de 4 heures. Contrairement a une fibre mutualisee FTTH, la ressource n'est pas partagee avec d'autres abonnes. Ce choix aligne le RTO reseau sur le RPO de 4 heures valide par la direction d'EngineerAero.</w:t>
      </w:r>
    </w:p>
    <w:p>
      <w:r>
        <w:br w:type="page"/>
      </w:r>
    </w:p>
    <w:p>
      <w:pPr>
        <w:pStyle w:val="Heading1"/>
        <w:spacing w:after="120" w:before="360"/>
      </w:pPr>
      <w:r>
        <w:rPr>
          <w:rFonts w:ascii="Arial" w:cs="Arial" w:eastAsia="Arial" w:hAnsi="Arial"/>
          <w:b/>
          <w:bCs/>
          <w:color w:val="1F3864"/>
          <w:sz w:val="32"/>
          <w:szCs w:val="32"/>
        </w:rPr>
        <w:t xml:space="preserve">Partie 3 — Services numeriques</w:t>
      </w:r>
    </w:p>
    <w:p>
      <w:pPr>
        <w:pStyle w:val="Heading2"/>
        <w:spacing w:after="80" w:before="240"/>
      </w:pPr>
      <w:r>
        <w:rPr>
          <w:rFonts w:ascii="Arial" w:cs="Arial" w:eastAsia="Arial" w:hAnsi="Arial"/>
          <w:b/>
          <w:bCs/>
          <w:color w:val="2E5090"/>
          <w:sz w:val="26"/>
          <w:szCs w:val="26"/>
        </w:rPr>
        <w:t xml:space="preserve">10. Sauvegarde 3-2-1-1-0 — OVHcloud Object Storage</w:t>
      </w:r>
    </w:p>
    <w:p>
      <w:pPr>
        <w:spacing w:after="60" w:before="60"/>
      </w:pPr>
      <w:r>
        <w:rPr>
          <w:rFonts w:ascii="Arial" w:cs="Arial" w:eastAsia="Arial" w:hAnsi="Arial"/>
          <w:sz w:val="22"/>
          <w:szCs w:val="22"/>
        </w:rPr>
        <w:t xml:space="preserve">La politique de sauvegarde applique la regle 3-2-1-1-0, qui etend la regle classique 3-2-1 par deux elements supplementaires : une copie immuable (WORM Object Lock) et une verification d'integrite systematique (SHA-256). Cette extension est specifiquement concue pour resister aux attaques par ransomware : meme si les donnees de production et les snapshots locaux sont chiffres par un attaquant, la copie WORM OVH demeure inatteignable.</w:t>
      </w:r>
    </w:p>
    <w:p>
      <w:pPr>
        <w:spacing w:after="60" w:before="60"/>
      </w:pPr>
      <w:r>
        <w:t xml:space="preserve"/>
      </w:r>
    </w:p>
    <w:tbl>
      <w:tblPr>
        <w:tblW w:type="dxa" w:w="8424"/>
        <w:tblBorders>
          <w:top w:val="single" w:color="auto" w:sz="4"/>
          <w:left w:val="single" w:color="auto" w:sz="4"/>
          <w:bottom w:val="single" w:color="auto" w:sz="4"/>
          <w:right w:val="single" w:color="auto" w:sz="4"/>
          <w:insideH w:val="single" w:color="auto" w:sz="4"/>
          <w:insideV w:val="single" w:color="auto" w:sz="4"/>
        </w:tblBorders>
      </w:tblPr>
      <w:tblGrid>
        <w:gridCol w:w="936"/>
        <w:gridCol w:w="2808"/>
        <w:gridCol w:w="4680"/>
      </w:tblGrid>
      <w:tr>
        <w:trPr>
          <w:tblHeader/>
        </w:trPr>
        <w:tc>
          <w:tcPr>
            <w:tcW w:type="dxa" w:w="93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Regle</w:t>
            </w:r>
          </w:p>
        </w:tc>
        <w:tc>
          <w:tcPr>
            <w:tcW w:type="dxa" w:w="2808"/>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Principe</w:t>
            </w:r>
          </w:p>
        </w:tc>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Application EngineerAero</w:t>
            </w:r>
          </w:p>
        </w:tc>
      </w:tr>
      <w:tr>
        <w:tc>
          <w:tcPr>
            <w:tcW w:type="dxa" w:w="93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w:t>
            </w:r>
          </w:p>
        </w:tc>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 copies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Production NAS + Snapshot local + Backup cloud OVH</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supports distincts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Disques HDD NAS (RAID 6) + Object Storage OVH S3</w:t>
            </w:r>
          </w:p>
        </w:tc>
      </w:tr>
      <w:tr>
        <w:tc>
          <w:tcPr>
            <w:tcW w:type="dxa" w:w="93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w:t>
            </w:r>
          </w:p>
        </w:tc>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 copie hors site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OVHcloud FR — Roubaix/Strasbourg (ISO 27001)</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copie immuable WORM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Lock OVH — inalterable meme par un administrateur</w:t>
            </w:r>
          </w:p>
        </w:tc>
      </w:tr>
      <w:tr>
        <w:tc>
          <w:tcPr>
            <w:tcW w:type="dxa" w:w="93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w:t>
            </w:r>
          </w:p>
        </w:tc>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 erreur verifiee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Verification integrite SHA-256 automatique — Synology Hyper Backup</w:t>
            </w:r>
          </w:p>
        </w:tc>
      </w:tr>
    </w:tbl>
    <w:p>
      <w:pPr>
        <w:spacing w:after="60" w:before="60"/>
      </w:pPr>
      <w:r>
        <w:t xml:space="preserve"/>
      </w:r>
    </w:p>
    <w:p>
      <w:pPr>
        <w:spacing w:after="60" w:before="180"/>
      </w:pPr>
      <w:r>
        <w:rPr>
          <w:rFonts w:ascii="Arial" w:cs="Arial" w:eastAsia="Arial" w:hAnsi="Arial"/>
          <w:b/>
          <w:bCs/>
          <w:color w:val="333333"/>
          <w:sz w:val="24"/>
          <w:szCs w:val="24"/>
        </w:rPr>
        <w:t xml:space="preserve">Planification des sauvegardes — RPO = 4 heures</w:t>
      </w:r>
    </w:p>
    <w:tbl>
      <w:tblPr>
        <w:tblW w:type="dxa" w:w="8424"/>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2340"/>
        <w:gridCol w:w="234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Frequence</w:t>
            </w:r>
          </w:p>
        </w:tc>
        <w:tc>
          <w:tcPr>
            <w:tcW w:type="dxa" w:w="1404"/>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Objectif</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Snapshot toutes les 4h</w:t>
            </w:r>
          </w:p>
        </w:tc>
        <w:tc>
          <w:tcPr>
            <w:tcW w:type="dxa" w:w="140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7 jours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Snapshot NAS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Respecter le RPO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Sauvegarde quotidienne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jours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Hyper Backup OVH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Restauration fine sur le mois</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Sauvegarde hebdomadaire</w:t>
            </w:r>
          </w:p>
        </w:tc>
        <w:tc>
          <w:tcPr>
            <w:tcW w:type="dxa" w:w="140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 mois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Hyper Backup OVH</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Retour arriere etendu</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Archive mensuelle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Storage froid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Conformite interne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Archive annuelle WORM</w:t>
            </w:r>
          </w:p>
        </w:tc>
        <w:tc>
          <w:tcPr>
            <w:tcW w:type="dxa" w:w="140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 ans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Object Lock immuable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Obligations legales EN 9100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Indicateur</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Valeur cible</w:t>
            </w:r>
          </w:p>
        </w:tc>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RPO</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 heures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Snapshot NAS toutes les 4h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RTO incident local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30 min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Restauration snapshot NAS</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RTO sinistre total</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&lt; 8 heures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Telechargement backup OVH</w:t>
            </w:r>
          </w:p>
        </w:tc>
      </w:tr>
    </w:tbl>
    <w:p>
      <w:pPr>
        <w:spacing w:after="60" w:before="60"/>
      </w:pPr>
      <w:r>
        <w:t xml:space="preserve"/>
      </w:r>
    </w:p>
    <w:p>
      <w:pPr>
        <w:pStyle w:val="Heading2"/>
        <w:spacing w:after="80" w:before="240"/>
      </w:pPr>
      <w:r>
        <w:rPr>
          <w:rFonts w:ascii="Arial" w:cs="Arial" w:eastAsia="Arial" w:hAnsi="Arial"/>
          <w:b/>
          <w:bCs/>
          <w:color w:val="2E5090"/>
          <w:sz w:val="26"/>
          <w:szCs w:val="26"/>
        </w:rPr>
        <w:t xml:space="preserve">11. Messagerie souveraine — OVHcloud Hosted Exchange</w:t>
      </w:r>
    </w:p>
    <w:p>
      <w:pPr>
        <w:spacing w:after="60" w:before="60"/>
      </w:pPr>
      <w:r>
        <w:rPr>
          <w:rFonts w:ascii="Arial" w:cs="Arial" w:eastAsia="Arial" w:hAnsi="Arial"/>
          <w:sz w:val="22"/>
          <w:szCs w:val="22"/>
        </w:rPr>
        <w:t xml:space="preserve">La messagerie est confiee a OVHcloud Hosted Exchange, heberge dans les datacenters francais d'OVHcloud (Roubaix, Gravelines, Strasbourg). Les donnees ne transitent pas par les Etats-Unis et echappent au Cloud Act americain. Le MFA est active sur l'integralite des comptes, conformement aux exigences NIS2. Les enregistrements SPF, DKIM et DMARC sont configures obligatoirement des le deploiement pour prevenir l'usurpation d'identite et satisfaire aux audits ANSSI.</w:t>
      </w:r>
    </w:p>
    <w:p>
      <w:pPr>
        <w:spacing w:after="60" w:before="60"/>
      </w:pPr>
      <w:r>
        <w:t xml:space="preserve"/>
      </w:r>
    </w:p>
    <w:p>
      <w:pPr>
        <w:pStyle w:val="Heading2"/>
        <w:spacing w:after="80" w:before="240"/>
      </w:pPr>
      <w:r>
        <w:rPr>
          <w:rFonts w:ascii="Arial" w:cs="Arial" w:eastAsia="Arial" w:hAnsi="Arial"/>
          <w:b/>
          <w:bCs/>
          <w:color w:val="2E5090"/>
          <w:sz w:val="26"/>
          <w:szCs w:val="26"/>
        </w:rPr>
        <w:t xml:space="preserve">12. Gestion IT — GLPI</w:t>
      </w:r>
    </w:p>
    <w:p>
      <w:pPr>
        <w:spacing w:after="60" w:before="60"/>
      </w:pPr>
      <w:r>
        <w:rPr>
          <w:rFonts w:ascii="Arial" w:cs="Arial" w:eastAsia="Arial" w:hAnsi="Arial"/>
          <w:sz w:val="22"/>
          <w:szCs w:val="22"/>
        </w:rPr>
        <w:t xml:space="preserve">GLPI (Gestionnaire Libre de Parc Informatique) est deploye sur une VM dediee dans le cluster Proxmox. Il assure le ticketing des incidents selon les bonnes pratiques ITIL, l'inventaire automatise du parc via l'agent FusionInventory, et le suivi des contrats et licences. Sa connexion LDAP permet l'authentification centralisee avec les comptes Active Directory existants. La solution est open-source et ne genere aucun cout de licence.</w:t>
      </w:r>
    </w:p>
    <w:p>
      <w:pPr>
        <w:spacing w:after="60" w:before="60"/>
      </w:pPr>
      <w:r>
        <w:t xml:space="preserve"/>
      </w:r>
    </w:p>
    <w:p>
      <w:pPr>
        <w:pStyle w:val="Heading2"/>
        <w:spacing w:after="80" w:before="240"/>
      </w:pPr>
      <w:r>
        <w:rPr>
          <w:rFonts w:ascii="Arial" w:cs="Arial" w:eastAsia="Arial" w:hAnsi="Arial"/>
          <w:b/>
          <w:bCs/>
          <w:color w:val="2E5090"/>
          <w:sz w:val="26"/>
          <w:szCs w:val="26"/>
        </w:rPr>
        <w:t xml:space="preserve">13. Site web et presence numerique</w:t>
      </w:r>
    </w:p>
    <w:p>
      <w:pPr>
        <w:spacing w:after="60" w:before="60"/>
      </w:pPr>
      <w:r>
        <w:rPr>
          <w:rFonts w:ascii="Arial" w:cs="Arial" w:eastAsia="Arial" w:hAnsi="Arial"/>
          <w:sz w:val="22"/>
          <w:szCs w:val="22"/>
        </w:rPr>
        <w:t xml:space="preserve">Le site web est heberge sur l'offre Cloud Pro OVHcloud (12 EUR HT/mois) avec nom de domaine engineer-aero.fr, certificat SSL Let's Encrypt et CMS configure aux couleurs EngineerAero. Le HTTPS est obligatoire pour le chiffrement TLS 1.3, le referencement SEO et la credibilite aupres des clients et partenaires.</w:t>
      </w:r>
    </w:p>
    <w:p>
      <w:pPr>
        <w:spacing w:after="60" w:before="60"/>
      </w:pPr>
      <w:r>
        <w:t xml:space="preserve"/>
      </w:r>
    </w:p>
    <w:p>
      <w:pPr>
        <w:pStyle w:val="Heading2"/>
        <w:spacing w:after="80" w:before="240"/>
      </w:pPr>
      <w:r>
        <w:rPr>
          <w:rFonts w:ascii="Arial" w:cs="Arial" w:eastAsia="Arial" w:hAnsi="Arial"/>
          <w:b/>
          <w:bCs/>
          <w:color w:val="2E5090"/>
          <w:sz w:val="26"/>
          <w:szCs w:val="26"/>
        </w:rPr>
        <w:t xml:space="preserve">14. Logiciels systeme — Windows Server 2022 et licences CAL</w:t>
      </w:r>
    </w:p>
    <w:p>
      <w:pPr>
        <w:spacing w:after="60" w:before="60"/>
      </w:pPr>
      <w:r>
        <w:rPr>
          <w:rFonts w:ascii="Arial" w:cs="Arial" w:eastAsia="Arial" w:hAnsi="Arial"/>
          <w:sz w:val="22"/>
          <w:szCs w:val="22"/>
        </w:rPr>
        <w:t xml:space="preserve">Windows Server 2022 heberge l'Active Directory centralise, le DNS et le DHCP de l'infrastructure. Vingt licences CAL utilisateurs garantissent la conformite legale et la traçabilite des acces. La compatibilite native avec AutoCAD, SolidWorks et CATIA repond aux besoins specifiques des 20 ingenieurs du bureau d'etudes.</w:t>
      </w:r>
    </w:p>
    <w:p>
      <w:r>
        <w:br w:type="page"/>
      </w:r>
    </w:p>
    <w:p>
      <w:pPr>
        <w:pStyle w:val="Heading1"/>
        <w:spacing w:after="120" w:before="360"/>
      </w:pPr>
      <w:r>
        <w:rPr>
          <w:rFonts w:ascii="Arial" w:cs="Arial" w:eastAsia="Arial" w:hAnsi="Arial"/>
          <w:b/>
          <w:bCs/>
          <w:color w:val="1F3864"/>
          <w:sz w:val="32"/>
          <w:szCs w:val="32"/>
        </w:rPr>
        <w:t xml:space="preserve">Partie 4 — Conformite et securite</w:t>
      </w:r>
    </w:p>
    <w:p>
      <w:pPr>
        <w:pStyle w:val="Heading2"/>
        <w:spacing w:after="80" w:before="240"/>
      </w:pPr>
      <w:r>
        <w:rPr>
          <w:rFonts w:ascii="Arial" w:cs="Arial" w:eastAsia="Arial" w:hAnsi="Arial"/>
          <w:b/>
          <w:bCs/>
          <w:color w:val="2E5090"/>
          <w:sz w:val="26"/>
          <w:szCs w:val="26"/>
        </w:rPr>
        <w:t xml:space="preserve">15. Politique de retention reglementaire</w:t>
      </w:r>
    </w:p>
    <w:tbl>
      <w:tblPr>
        <w:tblW w:type="dxa" w:w="9126"/>
        <w:tblBorders>
          <w:top w:val="single" w:color="auto" w:sz="4"/>
          <w:left w:val="single" w:color="auto" w:sz="4"/>
          <w:bottom w:val="single" w:color="auto" w:sz="4"/>
          <w:right w:val="single" w:color="auto" w:sz="4"/>
          <w:insideH w:val="single" w:color="auto" w:sz="4"/>
          <w:insideV w:val="single" w:color="auto" w:sz="4"/>
        </w:tblBorders>
      </w:tblPr>
      <w:tblGrid>
        <w:gridCol w:w="2808"/>
        <w:gridCol w:w="1170"/>
        <w:gridCol w:w="2340"/>
        <w:gridCol w:w="2808"/>
      </w:tblGrid>
      <w:tr>
        <w:trPr>
          <w:tblHeader/>
        </w:trPr>
        <w:tc>
          <w:tcPr>
            <w:tcW w:type="dxa" w:w="2808"/>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 de document</w:t>
            </w:r>
          </w:p>
        </w:tc>
        <w:tc>
          <w:tcPr>
            <w:tcW w:type="dxa" w:w="117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Duree</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Support</w:t>
            </w:r>
          </w:p>
        </w:tc>
        <w:tc>
          <w:tcPr>
            <w:tcW w:type="dxa" w:w="2808"/>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Base legale</w:t>
            </w:r>
          </w:p>
        </w:tc>
      </w:tr>
      <w:tr>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Factures et pieces comptables</w:t>
            </w:r>
          </w:p>
        </w:tc>
        <w:tc>
          <w:tcPr>
            <w:tcW w:type="dxa" w:w="117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 ans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Immuable WORM</w:t>
            </w:r>
          </w:p>
        </w:tc>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Art. L123-22 Code de commerce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Contrats et appels d'offres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ans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Archive cloud chiffree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 2224 Code civil</w:t>
            </w:r>
          </w:p>
        </w:tc>
      </w:tr>
      <w:tr>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Donnees personnelles (RGPD)</w:t>
            </w:r>
          </w:p>
        </w:tc>
        <w:tc>
          <w:tcPr>
            <w:tcW w:type="dxa" w:w="117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Duree de la relation</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NAS chiffre AES-256</w:t>
            </w:r>
          </w:p>
        </w:tc>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RGPD Art. 5</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Plans et dossiers techniques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ans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Archive WORM</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 9100 aeronautique</w:t>
            </w:r>
          </w:p>
        </w:tc>
      </w:tr>
    </w:tbl>
    <w:p>
      <w:pPr>
        <w:spacing w:after="60" w:before="60"/>
      </w:pPr>
      <w:r>
        <w:t xml:space="preserve"/>
      </w:r>
    </w:p>
    <w:p>
      <w:pPr>
        <w:pStyle w:val="Heading2"/>
        <w:spacing w:after="80" w:before="240"/>
      </w:pPr>
      <w:r>
        <w:rPr>
          <w:rFonts w:ascii="Arial" w:cs="Arial" w:eastAsia="Arial" w:hAnsi="Arial"/>
          <w:b/>
          <w:bCs/>
          <w:color w:val="2E5090"/>
          <w:sz w:val="26"/>
          <w:szCs w:val="26"/>
        </w:rPr>
        <w:t xml:space="preserve">16. Conformite NIS2</w:t>
      </w:r>
    </w:p>
    <w:p>
      <w:pPr>
        <w:spacing w:after="60" w:before="60"/>
      </w:pPr>
      <w:r>
        <w:rPr>
          <w:rFonts w:ascii="Arial" w:cs="Arial" w:eastAsia="Arial" w:hAnsi="Arial"/>
          <w:sz w:val="22"/>
          <w:szCs w:val="22"/>
        </w:rPr>
        <w:t xml:space="preserve">La directive NIS2 impose des obligations de securite aux entites essentielles et importantes operant dans l'Union europeenne. Pour un sous-traitant aeronautique, la conformite NIS2 constitue un avantage concurrentiel direct : Airbus, Safran et la DGA exigent de leurs partenaires des garanties de securite documentees. L'infrastructure deployee repond a 9 criteres NIS2 sur 11 des la mise en service, grace notamment au cluster Stormshield certifie ANSSI, au MFA generalise, a la sauvegarde WORM et a GLPI pour la traçabilite des incidents.</w:t>
      </w:r>
    </w:p>
    <w:p>
      <w:r>
        <w:br w:type="page"/>
      </w:r>
    </w:p>
    <w:p>
      <w:pPr>
        <w:pStyle w:val="Heading1"/>
        <w:spacing w:after="120" w:before="360"/>
      </w:pPr>
      <w:r>
        <w:rPr>
          <w:rFonts w:ascii="Arial" w:cs="Arial" w:eastAsia="Arial" w:hAnsi="Arial"/>
          <w:b/>
          <w:bCs/>
          <w:color w:val="1F3864"/>
          <w:sz w:val="32"/>
          <w:szCs w:val="32"/>
        </w:rPr>
        <w:t xml:space="preserve">Partie 5 — Synthese financiere</w:t>
      </w:r>
    </w:p>
    <w:p>
      <w:pPr>
        <w:pStyle w:val="Heading2"/>
        <w:spacing w:after="80" w:before="240"/>
      </w:pPr>
      <w:r>
        <w:rPr>
          <w:rFonts w:ascii="Arial" w:cs="Arial" w:eastAsia="Arial" w:hAnsi="Arial"/>
          <w:b/>
          <w:bCs/>
          <w:color w:val="2E5090"/>
          <w:sz w:val="26"/>
          <w:szCs w:val="26"/>
        </w:rPr>
        <w:t xml:space="preserve">17. Budget global CapEx et OpEx</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808"/>
        <w:gridCol w:w="3744"/>
        <w:gridCol w:w="1908"/>
      </w:tblGrid>
      <w:tr>
        <w:trPr>
          <w:tblHeader/>
        </w:trPr>
        <w:tc>
          <w:tcPr>
            <w:tcW w:type="dxa" w:w="2808"/>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Poste</w:t>
            </w:r>
          </w:p>
        </w:tc>
        <w:tc>
          <w:tcPr>
            <w:tcW w:type="dxa" w:w="3744"/>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1908"/>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Montant HT</w:t>
            </w:r>
          </w:p>
        </w:tc>
      </w:tr>
      <w:tr>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NAS &amp; stockage</w:t>
            </w:r>
          </w:p>
        </w:tc>
        <w:tc>
          <w:tcPr>
            <w:tcW w:type="dxa" w:w="374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Synology DS3622xs+ + 8 disques IronWolf Pro + NVMe</w:t>
            </w:r>
          </w:p>
        </w:tc>
        <w:tc>
          <w:tcPr>
            <w:tcW w:type="dxa" w:w="19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~4 900 EUR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Serveurs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2x 2CRSi OC-2100 (cluster Proxmox HA)</w:t>
            </w:r>
          </w:p>
        </w:tc>
        <w:tc>
          <w:tcPr>
            <w:tcW w:type="dxa" w:w="19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~16 000 EUR</w:t>
            </w:r>
          </w:p>
        </w:tc>
      </w:tr>
      <w:tr>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Reseau</w:t>
            </w:r>
          </w:p>
        </w:tc>
        <w:tc>
          <w:tcPr>
            <w:tcW w:type="dxa" w:w="374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2x Alcatel-Lucent OS6560 en Virtual Chassis</w:t>
            </w:r>
          </w:p>
        </w:tc>
        <w:tc>
          <w:tcPr>
            <w:tcW w:type="dxa" w:w="19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~8 000 EUR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2x Stormshield SN220 en cluster HA</w:t>
            </w:r>
          </w:p>
        </w:tc>
        <w:tc>
          <w:tcPr>
            <w:tcW w:type="dxa" w:w="19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~4 000 EUR</w:t>
            </w:r>
          </w:p>
        </w:tc>
      </w:tr>
      <w:tr>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Baie</w:t>
            </w:r>
          </w:p>
        </w:tc>
        <w:tc>
          <w:tcPr>
            <w:tcW w:type="dxa" w:w="374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Rack 24U climatise IP54</w:t>
            </w:r>
          </w:p>
        </w:tc>
        <w:tc>
          <w:tcPr>
            <w:tcW w:type="dxa" w:w="19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~1 500 EUR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Logiciels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Server 2022 + 20 CAL</w:t>
            </w:r>
          </w:p>
        </w:tc>
        <w:tc>
          <w:tcPr>
            <w:tcW w:type="dxa" w:w="19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~1 350 EUR</w:t>
            </w:r>
          </w:p>
        </w:tc>
      </w:tr>
      <w:tr>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Connectivite</w:t>
            </w:r>
          </w:p>
        </w:tc>
        <w:tc>
          <w:tcPr>
            <w:tcW w:type="dxa" w:w="374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Fibre Orange FTTO (installation)</w:t>
            </w:r>
          </w:p>
        </w:tc>
        <w:tc>
          <w:tcPr>
            <w:tcW w:type="dxa" w:w="19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~1 060 EUR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CapEx</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9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~36 810 EUR HT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2"/>
        <w:gridCol w:w="2808"/>
      </w:tblGrid>
      <w:tr>
        <w:trPr>
          <w:tblHeader/>
        </w:trPr>
        <w:tc>
          <w:tcPr>
            <w:tcW w:type="dxa" w:w="6552"/>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Poste recurrent</w:t>
            </w:r>
          </w:p>
        </w:tc>
        <w:tc>
          <w:tcPr>
            <w:tcW w:type="dxa" w:w="2808"/>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Cout mensuel HT</w:t>
            </w:r>
          </w:p>
        </w:tc>
      </w:tr>
      <w:tr>
        <w:tc>
          <w:tcPr>
            <w:tcW w:type="dxa" w:w="655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OVHcloud Hosted Exchange (20 users)</w:t>
            </w:r>
          </w:p>
        </w:tc>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~84 EUR</w:t>
            </w:r>
          </w:p>
        </w:tc>
      </w:tr>
      <w:tr>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OVHcloud Object Storage (backup 3-2-1-1-0)</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EUR</w:t>
            </w:r>
          </w:p>
        </w:tc>
      </w:tr>
      <w:tr>
        <w:tc>
          <w:tcPr>
            <w:tcW w:type="dxa" w:w="655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Hebergement web OVH + domaine</w:t>
            </w:r>
          </w:p>
        </w:tc>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~13 EUR</w:t>
            </w:r>
          </w:p>
        </w:tc>
      </w:tr>
      <w:tr>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Fibre Orange FTTO (abonnement)</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 EUR</w:t>
            </w:r>
          </w:p>
        </w:tc>
      </w:tr>
      <w:tr>
        <w:tc>
          <w:tcPr>
            <w:tcW w:type="dxa" w:w="655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Total OpEx mensuel</w:t>
            </w:r>
          </w:p>
        </w:tc>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~417 EUR HT</w:t>
            </w:r>
          </w:p>
        </w:tc>
      </w:tr>
    </w:tbl>
    <w:p>
      <w:pPr>
        <w:spacing w:after="60" w:before="60"/>
      </w:pPr>
      <w:r>
        <w:t xml:space="preserve"/>
      </w:r>
    </w:p>
    <w:p>
      <w:pPr>
        <w:pStyle w:val="Heading2"/>
        <w:spacing w:after="80" w:before="240"/>
      </w:pPr>
      <w:r>
        <w:rPr>
          <w:rFonts w:ascii="Arial" w:cs="Arial" w:eastAsia="Arial" w:hAnsi="Arial"/>
          <w:b/>
          <w:bCs/>
          <w:color w:val="2E5090"/>
          <w:sz w:val="26"/>
          <w:szCs w:val="26"/>
        </w:rPr>
        <w:t xml:space="preserve">18. ROI et justification de l'investissement</w:t>
      </w:r>
    </w:p>
    <w:p>
      <w:pPr>
        <w:spacing w:after="60" w:before="60"/>
      </w:pPr>
      <w:r>
        <w:rPr>
          <w:rFonts w:ascii="Arial" w:cs="Arial" w:eastAsia="Arial" w:hAnsi="Arial"/>
          <w:sz w:val="22"/>
          <w:szCs w:val="22"/>
        </w:rPr>
        <w:t xml:space="preserve">Le retour sur investissement est estime en moins de 3 ans. Les elements les plus significatifs sont les suivants : elimination du risque de perte totale de donnees lie au RAID 0 actuel (un sinistre sur les plans CAO d'EngineerAero serait irrecuperable), reduction des temps d'arret non planifies grace au cluster HA Proxmox et au cluster Stormshield, acces aux appels d'offres Airbus, Safran et DGA grace a la conformite NIS2 et aux equipements certifies ANSSI, et protection anti-ransomware par la copie WORM immuable OVH.</w:t>
      </w:r>
    </w:p>
    <w:p>
      <w:r>
        <w:br w:type="page"/>
      </w:r>
    </w:p>
    <w:p>
      <w:pPr>
        <w:pStyle w:val="Heading1"/>
        <w:spacing w:after="120" w:before="360"/>
      </w:pPr>
      <w:r>
        <w:rPr>
          <w:rFonts w:ascii="Arial" w:cs="Arial" w:eastAsia="Arial" w:hAnsi="Arial"/>
          <w:b/>
          <w:bCs/>
          <w:color w:val="1F3864"/>
          <w:sz w:val="32"/>
          <w:szCs w:val="32"/>
        </w:rPr>
        <w:t xml:space="preserve">Partie 6 — Deploiement</w:t>
      </w:r>
    </w:p>
    <w:p>
      <w:pPr>
        <w:pStyle w:val="Heading2"/>
        <w:spacing w:after="80" w:before="240"/>
      </w:pPr>
      <w:r>
        <w:rPr>
          <w:rFonts w:ascii="Arial" w:cs="Arial" w:eastAsia="Arial" w:hAnsi="Arial"/>
          <w:b/>
          <w:bCs/>
          <w:color w:val="2E5090"/>
          <w:sz w:val="26"/>
          <w:szCs w:val="26"/>
        </w:rPr>
        <w:t xml:space="preserve">19. Procedure de mise en route — 5 phases</w:t>
      </w:r>
    </w:p>
    <w:p>
      <w:pPr>
        <w:spacing w:after="60" w:before="180"/>
      </w:pPr>
      <w:r>
        <w:rPr>
          <w:rFonts w:ascii="Arial" w:cs="Arial" w:eastAsia="Arial" w:hAnsi="Arial"/>
          <w:b/>
          <w:bCs/>
          <w:color w:val="333333"/>
          <w:sz w:val="24"/>
          <w:szCs w:val="24"/>
        </w:rPr>
        <w:t xml:space="preserve">Phase 1 — Preparation (Jours 1-2)</w:t>
      </w:r>
    </w:p>
    <w:p>
      <w:pPr>
        <w:spacing w:after="60" w:before="60"/>
      </w:pPr>
      <w:r>
        <w:rPr>
          <w:rFonts w:ascii="Arial" w:cs="Arial" w:eastAsia="Arial" w:hAnsi="Arial"/>
          <w:sz w:val="22"/>
          <w:szCs w:val="22"/>
        </w:rPr>
        <w:t xml:space="preserve">Audit complet du reseau existant : topologie, adressage IP, VLANs. Reception et verification du materiel commande. Preparation du plan d'adressage definitif et documentation de la procedure de rollback.</w:t>
      </w:r>
    </w:p>
    <w:p>
      <w:pPr>
        <w:spacing w:after="60" w:before="60"/>
      </w:pPr>
      <w:r>
        <w:t xml:space="preserve"/>
      </w:r>
    </w:p>
    <w:p>
      <w:pPr>
        <w:spacing w:after="60" w:before="180"/>
      </w:pPr>
      <w:r>
        <w:rPr>
          <w:rFonts w:ascii="Arial" w:cs="Arial" w:eastAsia="Arial" w:hAnsi="Arial"/>
          <w:b/>
          <w:bCs/>
          <w:color w:val="333333"/>
          <w:sz w:val="24"/>
          <w:szCs w:val="24"/>
        </w:rPr>
        <w:t xml:space="preserve">Phase 2 — Installation materielle (Jours 3-5)</w:t>
      </w:r>
    </w:p>
    <w:p>
      <w:pPr>
        <w:spacing w:after="60" w:before="60"/>
      </w:pPr>
      <w:r>
        <w:rPr>
          <w:rFonts w:ascii="Arial" w:cs="Arial" w:eastAsia="Arial" w:hAnsi="Arial"/>
          <w:sz w:val="22"/>
          <w:szCs w:val="22"/>
        </w:rPr>
        <w:t xml:space="preserve">Installation de la baie 24U climatisee, câblage PDU et mise a la terre. Rack et câblage 10 GbE SFP+ des serveurs, NAS et switchs avec etiquetage systematique. Configuration du Virtual Chassis Alcatel-Lucent, creation des VLANs (Ingenierie VLAN10, Administration VLAN20, Invites VLAN30, Management VLAN99). Configuration du cluster Actif/Passif Stormshield avec test de basculement. Installation de Proxmox VE sur les deux noeuds 2CRSi, creation du cluster HA avec activation du Fencing via IPMI. Configuration du volume RAID 6 sur le NAS Synology avec cache NVMe et integration au domaine Active Directory.</w:t>
      </w:r>
    </w:p>
    <w:p>
      <w:pPr>
        <w:spacing w:after="60" w:before="60"/>
      </w:pPr>
      <w:r>
        <w:t xml:space="preserve"/>
      </w:r>
    </w:p>
    <w:p>
      <w:pPr>
        <w:spacing w:after="60" w:before="180"/>
      </w:pPr>
      <w:r>
        <w:rPr>
          <w:rFonts w:ascii="Arial" w:cs="Arial" w:eastAsia="Arial" w:hAnsi="Arial"/>
          <w:b/>
          <w:bCs/>
          <w:color w:val="333333"/>
          <w:sz w:val="24"/>
          <w:szCs w:val="24"/>
        </w:rPr>
        <w:t xml:space="preserve">Phase 3 — Sauvegarde 3-2-1-1-0 (Jours 6-8)</w:t>
      </w:r>
    </w:p>
    <w:p>
      <w:pPr>
        <w:spacing w:after="60" w:before="60"/>
      </w:pPr>
      <w:r>
        <w:rPr>
          <w:rFonts w:ascii="Arial" w:cs="Arial" w:eastAsia="Arial" w:hAnsi="Arial"/>
          <w:sz w:val="22"/>
          <w:szCs w:val="22"/>
        </w:rPr>
        <w:t xml:space="preserve">Creation du bucket S3 OVH avec Object Lock en mode COMPLIANCE. Configuration de Synology Hyper Backup vers OVH S3 avec planification (quotidien 22h, hebdomadaire dimanche 1h). Activation des snapshots toutes les 4 heures avec retention 7 jours. Verification d'integrite SHA-256 hebdomadaire. Validation obligatoire par une restauration reelle mesurant le RTO effectif.</w:t>
      </w:r>
    </w:p>
    <w:p>
      <w:pPr>
        <w:spacing w:after="60" w:before="60"/>
      </w:pPr>
      <w:r>
        <w:t xml:space="preserve"/>
      </w:r>
    </w:p>
    <w:p>
      <w:pPr>
        <w:spacing w:after="60" w:before="180"/>
      </w:pPr>
      <w:r>
        <w:rPr>
          <w:rFonts w:ascii="Arial" w:cs="Arial" w:eastAsia="Arial" w:hAnsi="Arial"/>
          <w:b/>
          <w:bCs/>
          <w:color w:val="333333"/>
          <w:sz w:val="24"/>
          <w:szCs w:val="24"/>
        </w:rPr>
        <w:t xml:space="preserve">Phase 4 — Migration des donnees (Jours 9-13)</w:t>
      </w:r>
    </w:p>
    <w:p>
      <w:pPr>
        <w:spacing w:after="60" w:before="60"/>
      </w:pPr>
      <w:r>
        <w:rPr>
          <w:rFonts w:ascii="Arial" w:cs="Arial" w:eastAsia="Arial" w:hAnsi="Arial"/>
          <w:sz w:val="22"/>
          <w:szCs w:val="22"/>
        </w:rPr>
        <w:t xml:space="preserve">Inventaire complet de l'ancien NAS avant toute operation. Migration hors heures de production via Synology Migration Assistant ou rsync SSH avec verification des checksums MD5/SHA-256 source et destination. Test sur 3 postes pilotes avant bascule generalisee. Conservation de l'ancien NAS en lecture seule 30 jours minimum apres migration — suppression des donnees originales uniquement apres 3 cycles de sauvegarde OVH reussis et verifies.</w:t>
      </w:r>
    </w:p>
    <w:p>
      <w:pPr>
        <w:spacing w:after="60" w:before="60"/>
      </w:pPr>
      <w:r>
        <w:t xml:space="preserve"/>
      </w:r>
    </w:p>
    <w:p>
      <w:pPr>
        <w:spacing w:after="60" w:before="180"/>
      </w:pPr>
      <w:r>
        <w:rPr>
          <w:rFonts w:ascii="Arial" w:cs="Arial" w:eastAsia="Arial" w:hAnsi="Arial"/>
          <w:b/>
          <w:bCs/>
          <w:color w:val="333333"/>
          <w:sz w:val="24"/>
          <w:szCs w:val="24"/>
        </w:rPr>
        <w:t xml:space="preserve">Phase 5 — Services numeriques (Jours 12-18)</w:t>
      </w:r>
    </w:p>
    <w:p>
      <w:pPr>
        <w:spacing w:after="60" w:before="60"/>
      </w:pPr>
      <w:r>
        <w:rPr>
          <w:rFonts w:ascii="Arial" w:cs="Arial" w:eastAsia="Arial" w:hAnsi="Arial"/>
          <w:sz w:val="22"/>
          <w:szCs w:val="22"/>
        </w:rPr>
        <w:t xml:space="preserve">Deploiement OVHcloud Exchange : creation des 20 boites mail, configuration MX + SPF + DKIM + DMARC, activation MFA 100% des comptes. Mise en ligne du site web avec SSL Let's Encrypt et validation HTTPS depuis l'exterieur. Deploiement GLPI sur VM Proxmox Debian 12, connexion LDAP/AD, installation des agents d'inventaire sur tous les postes, formation des utilisateurs.</w:t>
      </w:r>
    </w:p>
    <w:p>
      <w:pPr>
        <w:spacing w:after="60" w:before="60"/>
      </w:pPr>
      <w:r>
        <w:t xml:space="preserve"/>
      </w:r>
    </w:p>
    <w:p>
      <w:pPr>
        <w:pStyle w:val="Heading2"/>
        <w:spacing w:after="80" w:before="240"/>
      </w:pPr>
      <w:r>
        <w:rPr>
          <w:rFonts w:ascii="Arial" w:cs="Arial" w:eastAsia="Arial" w:hAnsi="Arial"/>
          <w:b/>
          <w:bCs/>
          <w:color w:val="2E5090"/>
          <w:sz w:val="26"/>
          <w:szCs w:val="26"/>
        </w:rPr>
        <w:t xml:space="preserve">20. Checklist de validation finale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6396"/>
        <w:gridCol w:w="2496"/>
      </w:tblGrid>
      <w:tr>
        <w:trPr>
          <w:tblHeader/>
        </w:trPr>
        <w:tc>
          <w:tcPr>
            <w:tcW w:type="dxa" w:w="468"/>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39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Point de validation</w:t>
            </w:r>
          </w:p>
        </w:tc>
        <w:tc>
          <w:tcPr>
            <w:tcW w:type="dxa" w:w="249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r>
      <w:tr>
        <w:tc>
          <w:tcPr>
            <w:tcW w:type="dxa" w:w="46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w:t>
            </w:r>
          </w:p>
        </w:tc>
        <w:tc>
          <w:tcPr>
            <w:tcW w:type="dxa" w:w="639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Volume RAID 6 actif — aucune alarme disque</w:t>
            </w:r>
          </w:p>
        </w:tc>
        <w:tc>
          <w:tcPr>
            <w:tcW w:type="dxa" w:w="249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Admin Sys</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63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 NVMe actif — debit mesure &gt;1 Go/s</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Sys</w:t>
            </w:r>
          </w:p>
        </w:tc>
      </w:tr>
      <w:tr>
        <w:tc>
          <w:tcPr>
            <w:tcW w:type="dxa" w:w="46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w:t>
            </w:r>
          </w:p>
        </w:tc>
        <w:tc>
          <w:tcPr>
            <w:tcW w:type="dxa" w:w="639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 GbE operationnel — teste depuis 3 postes pilotes</w:t>
            </w:r>
          </w:p>
        </w:tc>
        <w:tc>
          <w:tcPr>
            <w:tcW w:type="dxa" w:w="249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Admin Reseau</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63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Cluster Proxmox HA — basculement VM teste</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Sys</w:t>
            </w:r>
          </w:p>
        </w:tc>
      </w:tr>
      <w:tr>
        <w:tc>
          <w:tcPr>
            <w:tcW w:type="dxa" w:w="46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w:t>
            </w:r>
          </w:p>
        </w:tc>
        <w:tc>
          <w:tcPr>
            <w:tcW w:type="dxa" w:w="639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Cluster Stormshield — basculement Actif/Passif teste</w:t>
            </w:r>
          </w:p>
        </w:tc>
        <w:tc>
          <w:tcPr>
            <w:tcW w:type="dxa" w:w="249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Admin Reseau</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63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Directory — 20 comptes crees et testes</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Sys</w:t>
            </w:r>
          </w:p>
        </w:tc>
      </w:tr>
      <w:tr>
        <w:tc>
          <w:tcPr>
            <w:tcW w:type="dxa" w:w="46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7</w:t>
            </w:r>
          </w:p>
        </w:tc>
        <w:tc>
          <w:tcPr>
            <w:tcW w:type="dxa" w:w="639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Snapshot NAS 4h — 3 cycles consecutifs sans erreur</w:t>
            </w:r>
          </w:p>
        </w:tc>
        <w:tc>
          <w:tcPr>
            <w:tcW w:type="dxa" w:w="249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Admin Sys</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63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Backup OVH S3 — 3 sauvegardes + integrite SHA-256 OK</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Cloud</w:t>
            </w:r>
          </w:p>
        </w:tc>
      </w:tr>
      <w:tr>
        <w:tc>
          <w:tcPr>
            <w:tcW w:type="dxa" w:w="46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9</w:t>
            </w:r>
          </w:p>
        </w:tc>
        <w:tc>
          <w:tcPr>
            <w:tcW w:type="dxa" w:w="639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Restauration test reussie depuis OVH S3 — RTO mesure</w:t>
            </w:r>
          </w:p>
        </w:tc>
        <w:tc>
          <w:tcPr>
            <w:tcW w:type="dxa" w:w="249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Admin Sys</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63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Lock WORM — test suppression rejete</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Cloud</w:t>
            </w:r>
          </w:p>
        </w:tc>
      </w:tr>
      <w:tr>
        <w:tc>
          <w:tcPr>
            <w:tcW w:type="dxa" w:w="46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11</w:t>
            </w:r>
          </w:p>
        </w:tc>
        <w:tc>
          <w:tcPr>
            <w:tcW w:type="dxa" w:w="639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MX + SPF + DKIM + DMARC — verifies sur mxtoolbox.com</w:t>
            </w:r>
          </w:p>
        </w:tc>
        <w:tc>
          <w:tcPr>
            <w:tcW w:type="dxa" w:w="249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Admin Reseau</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63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MFA active — 100% des comptes Exchange</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Sys</w:t>
            </w:r>
          </w:p>
        </w:tc>
      </w:tr>
      <w:tr>
        <w:tc>
          <w:tcPr>
            <w:tcW w:type="dxa" w:w="46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13</w:t>
            </w:r>
          </w:p>
        </w:tc>
        <w:tc>
          <w:tcPr>
            <w:tcW w:type="dxa" w:w="639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Site web HTTPS — teste depuis l'exterieur</w:t>
            </w:r>
          </w:p>
        </w:tc>
        <w:tc>
          <w:tcPr>
            <w:tcW w:type="dxa" w:w="249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Admin Web</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63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GLPI operationnel — inventaire + tickets fonctionnels</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Sys</w:t>
            </w:r>
          </w:p>
        </w:tc>
      </w:tr>
      <w:tr>
        <w:tc>
          <w:tcPr>
            <w:tcW w:type="dxa" w:w="46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15</w:t>
            </w:r>
          </w:p>
        </w:tc>
        <w:tc>
          <w:tcPr>
            <w:tcW w:type="dxa" w:w="639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Documentation technique finalisee et signee</w:t>
            </w:r>
          </w:p>
        </w:tc>
        <w:tc>
          <w:tcPr>
            <w:tcW w:type="dxa" w:w="249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Chef de projet</w:t>
            </w:r>
          </w:p>
        </w:tc>
      </w:tr>
    </w:tbl>
    <w:p>
      <w:pPr>
        <w:spacing w:after="60" w:before="60"/>
      </w:pPr>
      <w:r>
        <w:t xml:space="preserve"/>
      </w:r>
    </w:p>
    <w:p>
      <w:r>
        <w:br w:type="page"/>
      </w:r>
    </w:p>
    <w:p>
      <w:pPr>
        <w:pStyle w:val="Heading1"/>
        <w:spacing w:after="120" w:before="360"/>
      </w:pPr>
      <w:r>
        <w:rPr>
          <w:rFonts w:ascii="Arial" w:cs="Arial" w:eastAsia="Arial" w:hAnsi="Arial"/>
          <w:b/>
          <w:bCs/>
          <w:color w:val="1F3864"/>
          <w:sz w:val="32"/>
          <w:szCs w:val="32"/>
        </w:rPr>
        <w:t xml:space="preserve">Conclusion</w:t>
      </w:r>
    </w:p>
    <w:p>
      <w:pPr>
        <w:spacing w:after="60" w:before="60"/>
      </w:pPr>
      <w:r>
        <w:rPr>
          <w:rFonts w:ascii="Arial" w:cs="Arial" w:eastAsia="Arial" w:hAnsi="Arial"/>
          <w:sz w:val="22"/>
          <w:szCs w:val="22"/>
        </w:rPr>
        <w:t xml:space="preserve">L'infrastructure proposee repond aux besoins actuels et previsionnels d'EngineerAero sur un horizon de 5 ans minimum. Elle repose sur des equipements souverains europeens (2CRSi, Alcatel-Lucent, Stormshield, OVHcloud), une architecture haute disponibilite eliminant les points de defaillance uniques, et une politique de sauvegarde 3-2-1-1-0 offrant une protection effective contre les ransomwares. La conformite NIS2 a 9 criteres sur 11 des la mise en service ouvre l'acces aux appels d'offres des donneurs d'ordre aeronautiques les plus exigeants.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Indicateur</w:t>
            </w:r>
          </w:p>
        </w:tc>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CapEx total HT</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36 810 EUR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OpEx mensuel HT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~417 EUR</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RPO valide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 heures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RTO incident local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30 minutes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RTO sinistre total</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&lt; 8 heures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Criteres NIS2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 11</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Delai de deploiement</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15 a 20 jours ouvres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ROI estime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3 ans</w:t>
            </w:r>
          </w:p>
        </w:tc>
      </w:tr>
    </w:tbl>
    <w:p>
      <w:pPr>
        <w:spacing w:after="60" w:before="60"/>
      </w:pPr>
      <w:r>
        <w:t xml:space="preserve"/>
      </w:r>
    </w:p>
    <w:p>
      <w:pPr>
        <w:spacing w:after="60" w:before="60"/>
      </w:pPr>
      <w:r>
        <w:rPr>
          <w:rFonts w:ascii="Arial" w:cs="Arial" w:eastAsia="Arial" w:hAnsi="Arial"/>
          <w:i/>
          <w:iCs/>
          <w:color w:val="777777"/>
          <w:sz w:val="22"/>
          <w:szCs w:val="22"/>
        </w:rPr>
        <w:t xml:space="preserve">Document redige dans le cadre du projet TSSR — Groupe Stargate Systeme — Avril 2025</w:t>
      </w:r>
    </w:p>
    <w:p>
      <w:pPr>
        <w:spacing w:after="60" w:before="60"/>
      </w:pPr>
      <w:r>
        <w:rPr>
          <w:rFonts w:ascii="Arial" w:cs="Arial" w:eastAsia="Arial" w:hAnsi="Arial"/>
          <w:i/>
          <w:iCs/>
          <w:color w:val="777777"/>
          <w:sz w:val="22"/>
          <w:szCs w:val="22"/>
        </w:rPr>
        <w:t xml:space="preserve">Confidentiel — Propriete industrielle EngineerAero / Stargate Systeme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2026-04-29T12:04:34.916Z</dcterms:created>
  <dcterms:modified xsi:type="dcterms:W3CDTF">2026-04-29T12:04:34.916Z</dcterms:modified>
</cp:coreProperties>
</file>

<file path=docProps/custom.xml><?xml version="1.0" encoding="utf-8"?>
<Properties xmlns="http://schemas.openxmlformats.org/officeDocument/2006/custom-properties" xmlns:vt="http://schemas.openxmlformats.org/officeDocument/2006/docPropsVTypes"/>
</file>