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F2EB1" w14:textId="77777777" w:rsidR="007A34D4" w:rsidRPr="00AD3F1B" w:rsidRDefault="00000000" w:rsidP="00AD3F1B">
      <w:pPr>
        <w:pStyle w:val="Ttulo1"/>
        <w:spacing w:before="480" w:after="240" w:line="360" w:lineRule="auto"/>
        <w:jc w:val="both"/>
        <w:rPr>
          <w:color w:val="auto"/>
        </w:rPr>
      </w:pPr>
      <w:r w:rsidRPr="00AD3F1B">
        <w:rPr>
          <w:b/>
          <w:bCs/>
          <w:color w:val="auto"/>
          <w:sz w:val="24"/>
          <w:szCs w:val="24"/>
        </w:rPr>
        <w:t>3. METODOLOGIA</w:t>
      </w:r>
    </w:p>
    <w:p w14:paraId="456F1E88" w14:textId="77777777" w:rsidR="007A34D4" w:rsidRPr="00AD3F1B" w:rsidRDefault="00000000" w:rsidP="00AD3F1B">
      <w:pPr>
        <w:spacing w:line="360" w:lineRule="auto"/>
        <w:ind w:firstLine="709"/>
        <w:jc w:val="both"/>
      </w:pPr>
      <w:r w:rsidRPr="00AD3F1B">
        <w:t>Com a fundamentação teórica estabelecida, este capítulo detalha os procedimentos metodológicos adotados para responder ao problema de pesquisa e alcançar os objetivos definidos. Apresenta-se a classificação do estudo, o recorte temporal, as fontes de dados secundários, a esteira de automação dos scripts Python desenvolvidos e as métricas financeiras e estatísticas aplicadas na análise.</w:t>
      </w:r>
    </w:p>
    <w:p w14:paraId="52F32644" w14:textId="77777777" w:rsidR="007A34D4" w:rsidRDefault="00000000" w:rsidP="00AD3F1B">
      <w:pPr>
        <w:pStyle w:val="Ttulo2"/>
        <w:spacing w:before="360" w:after="200" w:line="360" w:lineRule="auto"/>
        <w:jc w:val="both"/>
        <w:rPr>
          <w:b/>
          <w:bCs/>
          <w:color w:val="auto"/>
          <w:sz w:val="24"/>
          <w:szCs w:val="24"/>
        </w:rPr>
      </w:pPr>
      <w:r w:rsidRPr="00AD3F1B">
        <w:rPr>
          <w:b/>
          <w:bCs/>
          <w:color w:val="auto"/>
          <w:sz w:val="24"/>
          <w:szCs w:val="24"/>
        </w:rPr>
        <w:t>3.1 Classificação e Enquadramento da Pesquisa</w:t>
      </w:r>
    </w:p>
    <w:p w14:paraId="3F32BCC6" w14:textId="77777777" w:rsidR="00AD3F1B" w:rsidRPr="00AD3F1B" w:rsidRDefault="00AD3F1B" w:rsidP="00AD3F1B">
      <w:pPr>
        <w:pStyle w:val="Ttulo2"/>
        <w:spacing w:before="360" w:after="200" w:line="360" w:lineRule="auto"/>
        <w:jc w:val="both"/>
        <w:rPr>
          <w:color w:val="auto"/>
          <w:sz w:val="24"/>
          <w:szCs w:val="24"/>
        </w:rPr>
      </w:pPr>
      <w:r w:rsidRPr="00AD3F1B">
        <w:rPr>
          <w:color w:val="auto"/>
          <w:sz w:val="24"/>
          <w:szCs w:val="24"/>
        </w:rPr>
        <w:t>A pesquisa caracteriza-se como exploratória e descritiva quanto aos objetivos, adotando abordagem quantitativa com suporte em análise documental. A dimensão exploratório-descritiva justifica-se pelo estudo de um tema recente em Finanças Descentralizadas (</w:t>
      </w:r>
      <w:proofErr w:type="spellStart"/>
      <w:r w:rsidRPr="00AD3F1B">
        <w:rPr>
          <w:color w:val="auto"/>
          <w:sz w:val="24"/>
          <w:szCs w:val="24"/>
        </w:rPr>
        <w:t>DeFi</w:t>
      </w:r>
      <w:proofErr w:type="spellEnd"/>
      <w:r w:rsidRPr="00AD3F1B">
        <w:rPr>
          <w:color w:val="auto"/>
          <w:sz w:val="24"/>
          <w:szCs w:val="24"/>
        </w:rPr>
        <w:t>), buscando mensurar e caracterizar o comportamento de variáveis do protocolo Lido DAO (</w:t>
      </w:r>
      <w:proofErr w:type="spellStart"/>
      <w:r w:rsidRPr="00AD3F1B">
        <w:rPr>
          <w:color w:val="auto"/>
          <w:sz w:val="24"/>
          <w:szCs w:val="24"/>
        </w:rPr>
        <w:t>stETH</w:t>
      </w:r>
      <w:proofErr w:type="spellEnd"/>
      <w:r w:rsidRPr="00AD3F1B">
        <w:rPr>
          <w:color w:val="auto"/>
          <w:sz w:val="24"/>
          <w:szCs w:val="24"/>
        </w:rPr>
        <w:t>/ETH), como taxas de retorno (APR/APY), volatilidade, concentração de mercado e episódios de desvinculação de paridade (</w:t>
      </w:r>
      <w:proofErr w:type="spellStart"/>
      <w:r w:rsidRPr="00AD3F1B">
        <w:rPr>
          <w:i/>
          <w:iCs/>
          <w:color w:val="auto"/>
          <w:sz w:val="24"/>
          <w:szCs w:val="24"/>
        </w:rPr>
        <w:t>depeg</w:t>
      </w:r>
      <w:proofErr w:type="spellEnd"/>
      <w:r w:rsidRPr="00AD3F1B">
        <w:rPr>
          <w:color w:val="auto"/>
          <w:sz w:val="24"/>
          <w:szCs w:val="24"/>
        </w:rPr>
        <w:t>).</w:t>
      </w:r>
    </w:p>
    <w:p w14:paraId="26BD7792" w14:textId="5947CDCC" w:rsidR="00AD3F1B" w:rsidRPr="00AD3F1B" w:rsidRDefault="00AD3F1B" w:rsidP="00AD3F1B">
      <w:pPr>
        <w:pStyle w:val="Ttulo2"/>
        <w:spacing w:before="360" w:after="200" w:line="360" w:lineRule="auto"/>
        <w:jc w:val="both"/>
        <w:rPr>
          <w:color w:val="auto"/>
          <w:sz w:val="24"/>
          <w:szCs w:val="24"/>
        </w:rPr>
      </w:pPr>
      <w:r w:rsidRPr="00AD3F1B">
        <w:rPr>
          <w:color w:val="auto"/>
          <w:sz w:val="24"/>
          <w:szCs w:val="24"/>
        </w:rPr>
        <w:t xml:space="preserve">Do ponto de vista operacional, o trabalho processa séries temporais diárias para o cálculo de indicadores estatístico-financeiros, complementado pelo exame de </w:t>
      </w:r>
      <w:proofErr w:type="spellStart"/>
      <w:r w:rsidRPr="00AD3F1B">
        <w:rPr>
          <w:i/>
          <w:iCs/>
          <w:color w:val="auto"/>
          <w:sz w:val="24"/>
          <w:szCs w:val="24"/>
        </w:rPr>
        <w:t>whitepapers</w:t>
      </w:r>
      <w:proofErr w:type="spellEnd"/>
      <w:r w:rsidRPr="00AD3F1B">
        <w:rPr>
          <w:color w:val="auto"/>
          <w:sz w:val="24"/>
          <w:szCs w:val="24"/>
        </w:rPr>
        <w:t xml:space="preserve">, relatórios institucionais (Galaxy Digital, </w:t>
      </w:r>
      <w:proofErr w:type="spellStart"/>
      <w:r w:rsidRPr="00AD3F1B">
        <w:rPr>
          <w:color w:val="auto"/>
          <w:sz w:val="24"/>
          <w:szCs w:val="24"/>
        </w:rPr>
        <w:t>Binance</w:t>
      </w:r>
      <w:proofErr w:type="spellEnd"/>
      <w:r w:rsidRPr="00AD3F1B">
        <w:rPr>
          <w:color w:val="auto"/>
          <w:sz w:val="24"/>
          <w:szCs w:val="24"/>
        </w:rPr>
        <w:t xml:space="preserve"> </w:t>
      </w:r>
      <w:proofErr w:type="spellStart"/>
      <w:r w:rsidRPr="00AD3F1B">
        <w:rPr>
          <w:color w:val="auto"/>
          <w:sz w:val="24"/>
          <w:szCs w:val="24"/>
        </w:rPr>
        <w:t>Research</w:t>
      </w:r>
      <w:proofErr w:type="spellEnd"/>
      <w:r w:rsidRPr="00AD3F1B">
        <w:rPr>
          <w:color w:val="auto"/>
          <w:sz w:val="24"/>
          <w:szCs w:val="24"/>
        </w:rPr>
        <w:t>) e auditorias técnicas de contratos inteligentes (</w:t>
      </w:r>
      <w:proofErr w:type="spellStart"/>
      <w:r w:rsidRPr="00AD3F1B">
        <w:rPr>
          <w:color w:val="auto"/>
          <w:sz w:val="24"/>
          <w:szCs w:val="24"/>
        </w:rPr>
        <w:t>ChainSecurity</w:t>
      </w:r>
      <w:proofErr w:type="spellEnd"/>
      <w:r w:rsidRPr="00AD3F1B">
        <w:rPr>
          <w:color w:val="auto"/>
          <w:sz w:val="24"/>
          <w:szCs w:val="24"/>
        </w:rPr>
        <w:t>). Por amparar-se exclusivamente em dados secundários de acesso público, sem interação com seres humanos, a pesquisa é formalmente isenta de submissão ao Comitê de Ética em Pesquisa (CEP).</w:t>
      </w:r>
    </w:p>
    <w:p w14:paraId="357C4246" w14:textId="77777777" w:rsidR="007A34D4" w:rsidRPr="00AD3F1B" w:rsidRDefault="00000000" w:rsidP="00AD3F1B">
      <w:pPr>
        <w:pStyle w:val="Ttulo2"/>
        <w:spacing w:before="360" w:after="200" w:line="360" w:lineRule="auto"/>
        <w:jc w:val="both"/>
        <w:rPr>
          <w:color w:val="auto"/>
        </w:rPr>
      </w:pPr>
      <w:r w:rsidRPr="00AD3F1B">
        <w:rPr>
          <w:b/>
          <w:bCs/>
          <w:color w:val="auto"/>
          <w:sz w:val="24"/>
          <w:szCs w:val="24"/>
        </w:rPr>
        <w:t>3.2 Recorte Temporal e Universos de Dados Secundários</w:t>
      </w:r>
    </w:p>
    <w:p w14:paraId="7B0754DD" w14:textId="77777777" w:rsidR="007A34D4" w:rsidRPr="00AD3F1B" w:rsidRDefault="00000000" w:rsidP="00AD3F1B">
      <w:pPr>
        <w:pStyle w:val="Ttulo3"/>
        <w:spacing w:before="280" w:after="160" w:line="360" w:lineRule="auto"/>
        <w:jc w:val="both"/>
        <w:rPr>
          <w:color w:val="auto"/>
        </w:rPr>
      </w:pPr>
      <w:r w:rsidRPr="00AD3F1B">
        <w:rPr>
          <w:i/>
          <w:iCs/>
          <w:color w:val="auto"/>
        </w:rPr>
        <w:t>3.2.1 Recorte Temporal</w:t>
      </w:r>
    </w:p>
    <w:p w14:paraId="634F8F87" w14:textId="77777777" w:rsidR="007A34D4" w:rsidRPr="00AD3F1B" w:rsidRDefault="00000000" w:rsidP="00AD3F1B">
      <w:pPr>
        <w:spacing w:line="360" w:lineRule="auto"/>
        <w:ind w:firstLine="709"/>
        <w:jc w:val="both"/>
      </w:pPr>
      <w:r w:rsidRPr="00AD3F1B">
        <w:t>O horizonte temporal delimitado para a análise quantitativa compreende o período de 01 de janeiro de 2022 a 31 de maio de 2026. Essa janela capta a evolução do ecossistema em três etapas fundamentais:</w:t>
      </w:r>
    </w:p>
    <w:p w14:paraId="7E4227F3" w14:textId="77777777" w:rsidR="007A34D4" w:rsidRPr="00AD3F1B" w:rsidRDefault="00000000" w:rsidP="00AD3F1B">
      <w:pPr>
        <w:pStyle w:val="PargrafodaLista"/>
        <w:numPr>
          <w:ilvl w:val="0"/>
          <w:numId w:val="1"/>
        </w:numPr>
        <w:spacing w:line="360" w:lineRule="auto"/>
        <w:ind w:left="709"/>
        <w:jc w:val="both"/>
      </w:pPr>
      <w:r w:rsidRPr="00AD3F1B">
        <w:t xml:space="preserve">O cenário </w:t>
      </w:r>
      <w:proofErr w:type="spellStart"/>
      <w:r w:rsidRPr="00AD3F1B">
        <w:t>pré</w:t>
      </w:r>
      <w:proofErr w:type="spellEnd"/>
      <w:r w:rsidRPr="00AD3F1B">
        <w:t>-The Merge e os choques de liquidez de 2022 (colapsos da Terra/LUNA e FTX);</w:t>
      </w:r>
    </w:p>
    <w:p w14:paraId="4B03836C" w14:textId="77777777" w:rsidR="007A34D4" w:rsidRPr="00AD3F1B" w:rsidRDefault="00000000" w:rsidP="00AD3F1B">
      <w:pPr>
        <w:pStyle w:val="PargrafodaLista"/>
        <w:numPr>
          <w:ilvl w:val="0"/>
          <w:numId w:val="1"/>
        </w:numPr>
        <w:spacing w:line="360" w:lineRule="auto"/>
        <w:ind w:left="709"/>
        <w:jc w:val="both"/>
      </w:pPr>
      <w:r w:rsidRPr="00AD3F1B">
        <w:lastRenderedPageBreak/>
        <w:t xml:space="preserve">A transição para o </w:t>
      </w:r>
      <w:proofErr w:type="spellStart"/>
      <w:r w:rsidRPr="00AD3F1B">
        <w:t>Proof-of-Stake</w:t>
      </w:r>
      <w:proofErr w:type="spellEnd"/>
      <w:r w:rsidRPr="00AD3F1B">
        <w:t xml:space="preserve"> e a liberação dos saques nativos (</w:t>
      </w:r>
      <w:proofErr w:type="spellStart"/>
      <w:r w:rsidRPr="00AD3F1B">
        <w:t>Shapella</w:t>
      </w:r>
      <w:proofErr w:type="spellEnd"/>
      <w:r w:rsidRPr="00AD3F1B">
        <w:t>/Shanghai em 2023);</w:t>
      </w:r>
    </w:p>
    <w:p w14:paraId="60D5A0AC" w14:textId="77777777" w:rsidR="007A34D4" w:rsidRPr="00AD3F1B" w:rsidRDefault="00000000" w:rsidP="00AD3F1B">
      <w:pPr>
        <w:pStyle w:val="PargrafodaLista"/>
        <w:numPr>
          <w:ilvl w:val="0"/>
          <w:numId w:val="1"/>
        </w:numPr>
        <w:spacing w:line="360" w:lineRule="auto"/>
        <w:ind w:left="709"/>
        <w:jc w:val="both"/>
      </w:pPr>
      <w:r w:rsidRPr="00AD3F1B">
        <w:t xml:space="preserve">A consolidação da maturidade do mercado, escalabilidade via </w:t>
      </w:r>
      <w:proofErr w:type="spellStart"/>
      <w:r w:rsidRPr="00AD3F1B">
        <w:t>Layer</w:t>
      </w:r>
      <w:proofErr w:type="spellEnd"/>
      <w:r w:rsidRPr="00AD3F1B">
        <w:t xml:space="preserve"> 2 (</w:t>
      </w:r>
      <w:proofErr w:type="spellStart"/>
      <w:r w:rsidRPr="00AD3F1B">
        <w:t>Dencun</w:t>
      </w:r>
      <w:proofErr w:type="spellEnd"/>
      <w:r w:rsidRPr="00AD3F1B">
        <w:t xml:space="preserve"> em 2024) e expansão das estratégias de </w:t>
      </w:r>
      <w:proofErr w:type="spellStart"/>
      <w:r w:rsidRPr="00AD3F1B">
        <w:t>restaking</w:t>
      </w:r>
      <w:proofErr w:type="spellEnd"/>
      <w:r w:rsidRPr="00AD3F1B">
        <w:t xml:space="preserve"> e alavancagem em </w:t>
      </w:r>
      <w:proofErr w:type="spellStart"/>
      <w:r w:rsidRPr="00AD3F1B">
        <w:t>LSDfi</w:t>
      </w:r>
      <w:proofErr w:type="spellEnd"/>
      <w:r w:rsidRPr="00AD3F1B">
        <w:t xml:space="preserve"> até 2026.</w:t>
      </w:r>
    </w:p>
    <w:p w14:paraId="7E81C989" w14:textId="77777777" w:rsidR="007A34D4" w:rsidRPr="00DC4F05" w:rsidRDefault="00000000" w:rsidP="00AD3F1B">
      <w:pPr>
        <w:pStyle w:val="Ttulo3"/>
        <w:spacing w:before="280" w:after="160" w:line="360" w:lineRule="auto"/>
        <w:jc w:val="both"/>
        <w:rPr>
          <w:color w:val="auto"/>
        </w:rPr>
      </w:pPr>
      <w:r w:rsidRPr="00AD3F1B">
        <w:rPr>
          <w:i/>
          <w:iCs/>
          <w:color w:val="auto"/>
        </w:rPr>
        <w:t xml:space="preserve">3.2.2 </w:t>
      </w:r>
      <w:r w:rsidRPr="00DC4F05">
        <w:rPr>
          <w:i/>
          <w:iCs/>
          <w:color w:val="auto"/>
        </w:rPr>
        <w:t>Fontes de Dados Secundários</w:t>
      </w:r>
    </w:p>
    <w:p w14:paraId="541D91EB" w14:textId="77777777" w:rsidR="007A34D4" w:rsidRPr="00DC4F05" w:rsidRDefault="00000000" w:rsidP="00AD3F1B">
      <w:pPr>
        <w:spacing w:line="360" w:lineRule="auto"/>
        <w:ind w:firstLine="709"/>
        <w:jc w:val="both"/>
      </w:pPr>
      <w:r w:rsidRPr="00DC4F05">
        <w:t>As séries temporais quantitativas foram extraídas de bases públicas consolidadas no mercado de criptoativos:</w:t>
      </w:r>
    </w:p>
    <w:p w14:paraId="0D73B5AC" w14:textId="77777777" w:rsidR="007A34D4" w:rsidRPr="00DC4F05" w:rsidRDefault="00000000" w:rsidP="00AD3F1B">
      <w:pPr>
        <w:pStyle w:val="PargrafodaLista"/>
        <w:numPr>
          <w:ilvl w:val="0"/>
          <w:numId w:val="1"/>
        </w:numPr>
        <w:spacing w:line="360" w:lineRule="auto"/>
        <w:ind w:left="709"/>
        <w:jc w:val="both"/>
      </w:pPr>
      <w:proofErr w:type="spellStart"/>
      <w:r w:rsidRPr="00DC4F05">
        <w:t>DefiLlama</w:t>
      </w:r>
      <w:proofErr w:type="spellEnd"/>
      <w:r w:rsidRPr="00DC4F05">
        <w:t xml:space="preserve"> API (</w:t>
      </w:r>
      <w:proofErr w:type="spellStart"/>
      <w:r w:rsidRPr="00DC4F05">
        <w:t>Coins</w:t>
      </w:r>
      <w:proofErr w:type="spellEnd"/>
      <w:r w:rsidRPr="00DC4F05">
        <w:t xml:space="preserve">, </w:t>
      </w:r>
      <w:proofErr w:type="spellStart"/>
      <w:r w:rsidRPr="00DC4F05">
        <w:t>Protocols</w:t>
      </w:r>
      <w:proofErr w:type="spellEnd"/>
      <w:r w:rsidRPr="00DC4F05">
        <w:t xml:space="preserve"> e </w:t>
      </w:r>
      <w:proofErr w:type="spellStart"/>
      <w:r w:rsidRPr="00DC4F05">
        <w:t>Yields</w:t>
      </w:r>
      <w:proofErr w:type="spellEnd"/>
      <w:r w:rsidRPr="00DC4F05">
        <w:t xml:space="preserve"> API): Séries diárias de preço </w:t>
      </w:r>
      <w:proofErr w:type="spellStart"/>
      <w:r w:rsidRPr="00DC4F05">
        <w:t>stETH</w:t>
      </w:r>
      <w:proofErr w:type="spellEnd"/>
      <w:r w:rsidRPr="00DC4F05">
        <w:t xml:space="preserve">/ETH, Valor Total Bloqueado (TVL), Market </w:t>
      </w:r>
      <w:proofErr w:type="spellStart"/>
      <w:r w:rsidRPr="00DC4F05">
        <w:t>Share</w:t>
      </w:r>
      <w:proofErr w:type="spellEnd"/>
      <w:r w:rsidRPr="00DC4F05">
        <w:t xml:space="preserve"> de protocolos e taxas históricas de retorno (APR) da Lido DAO.</w:t>
      </w:r>
    </w:p>
    <w:p w14:paraId="2B0D3E09" w14:textId="77777777" w:rsidR="007A34D4" w:rsidRPr="00DC4F05" w:rsidRDefault="00000000" w:rsidP="00AD3F1B">
      <w:pPr>
        <w:pStyle w:val="PargrafodaLista"/>
        <w:numPr>
          <w:ilvl w:val="0"/>
          <w:numId w:val="1"/>
        </w:numPr>
        <w:spacing w:line="360" w:lineRule="auto"/>
        <w:ind w:left="709"/>
        <w:jc w:val="both"/>
      </w:pPr>
      <w:proofErr w:type="spellStart"/>
      <w:r w:rsidRPr="00DC4F05">
        <w:t>CoinGecko</w:t>
      </w:r>
      <w:proofErr w:type="spellEnd"/>
      <w:r w:rsidRPr="00DC4F05">
        <w:t xml:space="preserve"> API: Histórico de preços em USD do </w:t>
      </w:r>
      <w:proofErr w:type="spellStart"/>
      <w:r w:rsidRPr="00DC4F05">
        <w:t>Ether</w:t>
      </w:r>
      <w:proofErr w:type="spellEnd"/>
      <w:r w:rsidRPr="00DC4F05">
        <w:t xml:space="preserve"> (ETH) e volume financeiro negociado no mercado secundário.</w:t>
      </w:r>
    </w:p>
    <w:p w14:paraId="36119BBD" w14:textId="77777777" w:rsidR="007A34D4" w:rsidRPr="00DC4F05" w:rsidRDefault="00000000" w:rsidP="00AD3F1B">
      <w:pPr>
        <w:pStyle w:val="PargrafodaLista"/>
        <w:numPr>
          <w:ilvl w:val="0"/>
          <w:numId w:val="1"/>
        </w:numPr>
        <w:spacing w:line="360" w:lineRule="auto"/>
        <w:ind w:left="709"/>
        <w:jc w:val="both"/>
      </w:pPr>
      <w:r w:rsidRPr="00DC4F05">
        <w:t xml:space="preserve">Beaconcha.in API: Métricas da camada de consenso do Ethereum, incluindo o total de ETH em staking e o comportamento do Staking </w:t>
      </w:r>
      <w:proofErr w:type="spellStart"/>
      <w:r w:rsidRPr="00DC4F05">
        <w:t>Ratio</w:t>
      </w:r>
      <w:proofErr w:type="spellEnd"/>
      <w:r w:rsidRPr="00DC4F05">
        <w:t>.</w:t>
      </w:r>
    </w:p>
    <w:p w14:paraId="5C906B8A" w14:textId="77777777" w:rsidR="007A34D4" w:rsidRPr="00DC4F05" w:rsidRDefault="00000000" w:rsidP="00AD3F1B">
      <w:pPr>
        <w:pStyle w:val="PargrafodaLista"/>
        <w:numPr>
          <w:ilvl w:val="0"/>
          <w:numId w:val="1"/>
        </w:numPr>
        <w:spacing w:line="360" w:lineRule="auto"/>
        <w:ind w:left="709"/>
        <w:jc w:val="both"/>
      </w:pPr>
      <w:proofErr w:type="spellStart"/>
      <w:r w:rsidRPr="00DC4F05">
        <w:t>Dune</w:t>
      </w:r>
      <w:proofErr w:type="spellEnd"/>
      <w:r w:rsidRPr="00DC4F05">
        <w:t xml:space="preserve"> </w:t>
      </w:r>
      <w:proofErr w:type="spellStart"/>
      <w:r w:rsidRPr="00DC4F05">
        <w:t>Analytics</w:t>
      </w:r>
      <w:proofErr w:type="spellEnd"/>
      <w:r w:rsidRPr="00DC4F05">
        <w:t xml:space="preserve">: Painéis </w:t>
      </w:r>
      <w:proofErr w:type="spellStart"/>
      <w:r w:rsidRPr="00DC4F05">
        <w:t>on-chain</w:t>
      </w:r>
      <w:proofErr w:type="spellEnd"/>
      <w:r w:rsidRPr="00DC4F05">
        <w:t xml:space="preserve"> comunitários para validação das taxas brutas do staking direto (camada de consenso + camada de execução/MEV).</w:t>
      </w:r>
    </w:p>
    <w:p w14:paraId="2B7A6AB8" w14:textId="77777777" w:rsidR="007A34D4" w:rsidRPr="00AD3F1B" w:rsidRDefault="00000000" w:rsidP="00AD3F1B">
      <w:pPr>
        <w:pStyle w:val="Ttulo2"/>
        <w:spacing w:before="360" w:after="200" w:line="360" w:lineRule="auto"/>
        <w:jc w:val="both"/>
        <w:rPr>
          <w:color w:val="auto"/>
        </w:rPr>
      </w:pPr>
      <w:r w:rsidRPr="00AD3F1B">
        <w:rPr>
          <w:b/>
          <w:bCs/>
          <w:color w:val="auto"/>
          <w:sz w:val="24"/>
          <w:szCs w:val="24"/>
        </w:rPr>
        <w:t>3.3 Esteira de Automação e Arquitetura de Scripts Python</w:t>
      </w:r>
    </w:p>
    <w:p w14:paraId="125CE9AA" w14:textId="77777777" w:rsidR="007A34D4" w:rsidRPr="00AD3F1B" w:rsidRDefault="00000000" w:rsidP="00AD3F1B">
      <w:pPr>
        <w:spacing w:line="360" w:lineRule="auto"/>
        <w:ind w:firstLine="709"/>
        <w:jc w:val="both"/>
      </w:pPr>
      <w:r w:rsidRPr="00AD3F1B">
        <w:t xml:space="preserve">Para assegurar a integridade, precisão e reprodutibilidade científica da pesquisa, a extração e a estruturação das bases de dados foram totalmente automatizadas em linguagem Python 3.11+, utilizando as bibliotecas </w:t>
      </w:r>
      <w:proofErr w:type="spellStart"/>
      <w:r w:rsidRPr="00AD3F1B">
        <w:t>requests</w:t>
      </w:r>
      <w:proofErr w:type="spellEnd"/>
      <w:r w:rsidRPr="00AD3F1B">
        <w:t xml:space="preserve"> (para requisições HTTP REST) e pandas (para manipulação e limpeza de dados).</w:t>
      </w:r>
    </w:p>
    <w:p w14:paraId="117CE9EA" w14:textId="77777777" w:rsidR="007A34D4" w:rsidRPr="00DC4F05" w:rsidRDefault="00000000" w:rsidP="00AD3F1B">
      <w:pPr>
        <w:spacing w:line="360" w:lineRule="auto"/>
        <w:ind w:firstLine="709"/>
        <w:jc w:val="both"/>
      </w:pPr>
      <w:r w:rsidRPr="00DC4F05">
        <w:t>A arquitetura do processo foi organizada numa esteira modular de scripts independentes:</w:t>
      </w:r>
    </w:p>
    <w:p w14:paraId="0026709B" w14:textId="77777777" w:rsidR="007A34D4" w:rsidRPr="00DC4F05" w:rsidRDefault="00000000" w:rsidP="00AD3F1B">
      <w:pPr>
        <w:pStyle w:val="PargrafodaLista"/>
        <w:numPr>
          <w:ilvl w:val="0"/>
          <w:numId w:val="1"/>
        </w:numPr>
        <w:spacing w:line="360" w:lineRule="auto"/>
        <w:ind w:left="709"/>
        <w:jc w:val="both"/>
      </w:pPr>
      <w:r w:rsidRPr="00DC4F05">
        <w:rPr>
          <w:i/>
          <w:iCs/>
        </w:rPr>
        <w:t xml:space="preserve">01_coleta_depeg_steth_eth.py: </w:t>
      </w:r>
      <w:r w:rsidRPr="00DC4F05">
        <w:t xml:space="preserve">Extrai o histórico diário de cotação do </w:t>
      </w:r>
      <w:proofErr w:type="spellStart"/>
      <w:r w:rsidRPr="00DC4F05">
        <w:t>stETH</w:t>
      </w:r>
      <w:proofErr w:type="spellEnd"/>
      <w:r w:rsidRPr="00DC4F05">
        <w:t xml:space="preserve"> e ETH via </w:t>
      </w:r>
      <w:proofErr w:type="spellStart"/>
      <w:r w:rsidRPr="00DC4F05">
        <w:t>DefiLlama</w:t>
      </w:r>
      <w:proofErr w:type="spellEnd"/>
      <w:r w:rsidRPr="00DC4F05">
        <w:t xml:space="preserve"> </w:t>
      </w:r>
      <w:proofErr w:type="spellStart"/>
      <w:r w:rsidRPr="00DC4F05">
        <w:t>Coins</w:t>
      </w:r>
      <w:proofErr w:type="spellEnd"/>
      <w:r w:rsidRPr="00DC4F05">
        <w:t xml:space="preserve"> API, calculando a razão </w:t>
      </w:r>
      <w:proofErr w:type="spellStart"/>
      <w:r w:rsidRPr="00DC4F05">
        <w:t>Ratio_t</w:t>
      </w:r>
      <w:proofErr w:type="spellEnd"/>
      <w:r w:rsidRPr="00DC4F05">
        <w:t xml:space="preserve"> e o percentual de </w:t>
      </w:r>
      <w:proofErr w:type="spellStart"/>
      <w:r w:rsidRPr="00DC4F05">
        <w:t>Depeg</w:t>
      </w:r>
      <w:proofErr w:type="spellEnd"/>
      <w:r w:rsidRPr="00DC4F05">
        <w:t>.</w:t>
      </w:r>
    </w:p>
    <w:p w14:paraId="5DBA9F6E" w14:textId="77777777" w:rsidR="007A34D4" w:rsidRPr="00DC4F05" w:rsidRDefault="00000000" w:rsidP="00AD3F1B">
      <w:pPr>
        <w:pStyle w:val="PargrafodaLista"/>
        <w:numPr>
          <w:ilvl w:val="0"/>
          <w:numId w:val="1"/>
        </w:numPr>
        <w:spacing w:line="360" w:lineRule="auto"/>
        <w:ind w:left="709"/>
        <w:jc w:val="both"/>
      </w:pPr>
      <w:r w:rsidRPr="00DC4F05">
        <w:rPr>
          <w:i/>
          <w:iCs/>
        </w:rPr>
        <w:t xml:space="preserve">02_coleta_preco_eth_usd.py: </w:t>
      </w:r>
      <w:r w:rsidRPr="00DC4F05">
        <w:t>Obtém a cotação histórica do ETH em Dólares (USD) para fins de contextualização dos ciclos macroeconômicos do mercado.</w:t>
      </w:r>
    </w:p>
    <w:p w14:paraId="5B8336D9" w14:textId="77777777" w:rsidR="007A34D4" w:rsidRPr="00DC4F05" w:rsidRDefault="00000000" w:rsidP="00AD3F1B">
      <w:pPr>
        <w:pStyle w:val="PargrafodaLista"/>
        <w:numPr>
          <w:ilvl w:val="0"/>
          <w:numId w:val="1"/>
        </w:numPr>
        <w:spacing w:line="360" w:lineRule="auto"/>
        <w:ind w:left="709"/>
        <w:jc w:val="both"/>
      </w:pPr>
      <w:r w:rsidRPr="00DC4F05">
        <w:rPr>
          <w:i/>
          <w:iCs/>
        </w:rPr>
        <w:t xml:space="preserve">03_coleta_apr_lido.py: </w:t>
      </w:r>
      <w:r w:rsidRPr="00DC4F05">
        <w:t xml:space="preserve">Captura a série temporal do APR/APY pago pelo protocolo Lido DAO aos detentores de </w:t>
      </w:r>
      <w:proofErr w:type="spellStart"/>
      <w:r w:rsidRPr="00DC4F05">
        <w:t>stETH</w:t>
      </w:r>
      <w:proofErr w:type="spellEnd"/>
      <w:r w:rsidRPr="00DC4F05">
        <w:t xml:space="preserve"> via </w:t>
      </w:r>
      <w:proofErr w:type="spellStart"/>
      <w:r w:rsidRPr="00DC4F05">
        <w:t>DefiLlama</w:t>
      </w:r>
      <w:proofErr w:type="spellEnd"/>
      <w:r w:rsidRPr="00DC4F05">
        <w:t xml:space="preserve"> </w:t>
      </w:r>
      <w:proofErr w:type="spellStart"/>
      <w:r w:rsidRPr="00DC4F05">
        <w:t>Yields</w:t>
      </w:r>
      <w:proofErr w:type="spellEnd"/>
      <w:r w:rsidRPr="00DC4F05">
        <w:t xml:space="preserve"> API.</w:t>
      </w:r>
    </w:p>
    <w:p w14:paraId="2516CB1F" w14:textId="79B43B63" w:rsidR="007A34D4" w:rsidRPr="00DC4F05" w:rsidRDefault="00000000" w:rsidP="00AD3F1B">
      <w:pPr>
        <w:pStyle w:val="PargrafodaLista"/>
        <w:numPr>
          <w:ilvl w:val="0"/>
          <w:numId w:val="1"/>
        </w:numPr>
        <w:spacing w:line="360" w:lineRule="auto"/>
        <w:ind w:left="709"/>
        <w:jc w:val="both"/>
      </w:pPr>
      <w:r w:rsidRPr="00DC4F05">
        <w:rPr>
          <w:i/>
          <w:iCs/>
        </w:rPr>
        <w:t>0</w:t>
      </w:r>
      <w:r w:rsidR="00AD3F1B" w:rsidRPr="00DC4F05">
        <w:rPr>
          <w:i/>
          <w:iCs/>
        </w:rPr>
        <w:t>4</w:t>
      </w:r>
      <w:r w:rsidRPr="00DC4F05">
        <w:rPr>
          <w:i/>
          <w:iCs/>
        </w:rPr>
        <w:t xml:space="preserve">_tratamento_e_metricas.py: </w:t>
      </w:r>
      <w:r w:rsidRPr="00DC4F05">
        <w:t>Script de consolidação que une os arquivos CSV por data (YYYY-MM-DD), limpa dados ausentes, remove duplicatas e aplica os cálculos das métricas financeiras.</w:t>
      </w:r>
    </w:p>
    <w:p w14:paraId="767B303C" w14:textId="364AD3B8" w:rsidR="007A34D4" w:rsidRPr="00DC4F05" w:rsidRDefault="00000000" w:rsidP="00AD3F1B">
      <w:pPr>
        <w:pStyle w:val="PargrafodaLista"/>
        <w:numPr>
          <w:ilvl w:val="0"/>
          <w:numId w:val="1"/>
        </w:numPr>
        <w:spacing w:line="360" w:lineRule="auto"/>
        <w:ind w:left="709"/>
        <w:jc w:val="both"/>
      </w:pPr>
      <w:r w:rsidRPr="00DC4F05">
        <w:rPr>
          <w:i/>
          <w:iCs/>
        </w:rPr>
        <w:lastRenderedPageBreak/>
        <w:t>0</w:t>
      </w:r>
      <w:r w:rsidR="00AD3F1B" w:rsidRPr="00DC4F05">
        <w:rPr>
          <w:i/>
          <w:iCs/>
        </w:rPr>
        <w:t>5</w:t>
      </w:r>
      <w:r w:rsidRPr="00DC4F05">
        <w:rPr>
          <w:i/>
          <w:iCs/>
        </w:rPr>
        <w:t xml:space="preserve">_geracao_graficos_tabelas.py: </w:t>
      </w:r>
      <w:r w:rsidRPr="00DC4F05">
        <w:t>Script responsável pela geração das figuras em alta resolução e compilação das estatísticas descritivas (média, mediana, desvio-padrão, mínimos e máximos).</w:t>
      </w:r>
    </w:p>
    <w:p w14:paraId="6EF6750A" w14:textId="77777777" w:rsidR="007A34D4" w:rsidRPr="00AD3F1B" w:rsidRDefault="00000000" w:rsidP="00AD3F1B">
      <w:pPr>
        <w:spacing w:line="360" w:lineRule="auto"/>
        <w:ind w:firstLine="709"/>
        <w:jc w:val="both"/>
      </w:pPr>
      <w:r w:rsidRPr="00AD3F1B">
        <w:t>Conforme as boas práticas acadêmicas, os códigos-fonte integrais não sobrecarregam o corpo do capítulo, estando documentados no Apêndice A e disponibilizados em repositório público no GitHub.</w:t>
      </w:r>
    </w:p>
    <w:p w14:paraId="7FF4FB96" w14:textId="77777777" w:rsidR="007A34D4" w:rsidRPr="00AD3F1B" w:rsidRDefault="00000000" w:rsidP="00AD3F1B">
      <w:pPr>
        <w:pStyle w:val="Ttulo2"/>
        <w:spacing w:before="360" w:after="200" w:line="360" w:lineRule="auto"/>
        <w:jc w:val="both"/>
        <w:rPr>
          <w:color w:val="auto"/>
        </w:rPr>
      </w:pPr>
      <w:r w:rsidRPr="00AD3F1B">
        <w:rPr>
          <w:b/>
          <w:bCs/>
          <w:color w:val="auto"/>
          <w:sz w:val="24"/>
          <w:szCs w:val="24"/>
        </w:rPr>
        <w:t>3.4 Métricas e Procedimentos de Análise Quantitativa</w:t>
      </w:r>
    </w:p>
    <w:p w14:paraId="7464AC8A" w14:textId="77777777" w:rsidR="007A34D4" w:rsidRPr="00AD3F1B" w:rsidRDefault="00000000" w:rsidP="00AD3F1B">
      <w:pPr>
        <w:spacing w:line="360" w:lineRule="auto"/>
        <w:ind w:firstLine="709"/>
        <w:jc w:val="both"/>
      </w:pPr>
      <w:r w:rsidRPr="00AD3F1B">
        <w:t>A avaliação quantitativa do trabalho está estruturada sobre quatro pilares analíticos respaldados pela literatura financeira:</w:t>
      </w:r>
    </w:p>
    <w:p w14:paraId="553C1E7F" w14:textId="77777777" w:rsidR="007A34D4" w:rsidRPr="00AD3F1B" w:rsidRDefault="00000000" w:rsidP="00AD3F1B">
      <w:pPr>
        <w:pStyle w:val="Ttulo3"/>
        <w:spacing w:before="280" w:after="160" w:line="360" w:lineRule="auto"/>
        <w:jc w:val="both"/>
        <w:rPr>
          <w:color w:val="auto"/>
        </w:rPr>
      </w:pPr>
      <w:r w:rsidRPr="00AD3F1B">
        <w:rPr>
          <w:i/>
          <w:iCs/>
          <w:color w:val="auto"/>
        </w:rPr>
        <w:t xml:space="preserve">3.4.1 Mensuração do Liquid Staking </w:t>
      </w:r>
      <w:proofErr w:type="spellStart"/>
      <w:r w:rsidRPr="00AD3F1B">
        <w:rPr>
          <w:i/>
          <w:iCs/>
          <w:color w:val="auto"/>
        </w:rPr>
        <w:t>Basis</w:t>
      </w:r>
      <w:proofErr w:type="spellEnd"/>
      <w:r w:rsidRPr="00AD3F1B">
        <w:rPr>
          <w:i/>
          <w:iCs/>
          <w:color w:val="auto"/>
        </w:rPr>
        <w:t xml:space="preserve"> e </w:t>
      </w:r>
      <w:proofErr w:type="spellStart"/>
      <w:r w:rsidRPr="00AD3F1B">
        <w:rPr>
          <w:i/>
          <w:iCs/>
          <w:color w:val="auto"/>
        </w:rPr>
        <w:t>Depeg</w:t>
      </w:r>
      <w:proofErr w:type="spellEnd"/>
    </w:p>
    <w:p w14:paraId="7E6ACB6B" w14:textId="77777777" w:rsidR="007A34D4" w:rsidRPr="00AD3F1B" w:rsidRDefault="00000000" w:rsidP="00AD3F1B">
      <w:pPr>
        <w:spacing w:line="360" w:lineRule="auto"/>
        <w:ind w:firstLine="709"/>
        <w:jc w:val="both"/>
      </w:pPr>
      <w:r w:rsidRPr="00AD3F1B">
        <w:t xml:space="preserve">Conforme formalizado por </w:t>
      </w:r>
      <w:proofErr w:type="spellStart"/>
      <w:r w:rsidRPr="00AD3F1B">
        <w:t>Scharnowski</w:t>
      </w:r>
      <w:proofErr w:type="spellEnd"/>
      <w:r w:rsidRPr="00AD3F1B">
        <w:t xml:space="preserve"> e </w:t>
      </w:r>
      <w:proofErr w:type="spellStart"/>
      <w:r w:rsidRPr="00AD3F1B">
        <w:t>Jahanshahloo</w:t>
      </w:r>
      <w:proofErr w:type="spellEnd"/>
      <w:r w:rsidRPr="00AD3F1B">
        <w:t xml:space="preserve"> (2025), a divergência relativa entre o preço de mercado do token derivativo e do ativo subjacente é mensurada pelo Liquid Staking </w:t>
      </w:r>
      <w:proofErr w:type="spellStart"/>
      <w:r w:rsidRPr="00AD3F1B">
        <w:t>Basis</w:t>
      </w:r>
      <w:proofErr w:type="spellEnd"/>
      <w:r w:rsidRPr="00AD3F1B">
        <w:t xml:space="preserve"> Assinado (</w:t>
      </w:r>
      <w:proofErr w:type="spellStart"/>
      <w:r w:rsidRPr="00AD3F1B">
        <w:t>Basis_</w:t>
      </w:r>
      <w:proofErr w:type="gramStart"/>
      <w:r w:rsidRPr="00AD3F1B">
        <w:t>signed,t</w:t>
      </w:r>
      <w:proofErr w:type="spellEnd"/>
      <w:proofErr w:type="gramEnd"/>
      <w:r w:rsidRPr="00AD3F1B">
        <w:t>):</w:t>
      </w:r>
    </w:p>
    <w:p w14:paraId="620ACD8B" w14:textId="77777777" w:rsidR="007A34D4" w:rsidRPr="00AD3F1B" w:rsidRDefault="00000000" w:rsidP="00AD3F1B">
      <w:pPr>
        <w:spacing w:before="200" w:after="200"/>
        <w:jc w:val="both"/>
        <w:rPr>
          <w:lang w:val="en-GB"/>
        </w:rPr>
      </w:pPr>
      <w:proofErr w:type="spellStart"/>
      <w:r w:rsidRPr="00AD3F1B">
        <w:rPr>
          <w:i/>
          <w:iCs/>
          <w:lang w:val="en-GB"/>
        </w:rPr>
        <w:t>Basis</w:t>
      </w:r>
      <w:r w:rsidRPr="00AD3F1B">
        <w:rPr>
          <w:i/>
          <w:iCs/>
          <w:vertAlign w:val="subscript"/>
          <w:lang w:val="en-GB"/>
        </w:rPr>
        <w:t>signed</w:t>
      </w:r>
      <w:proofErr w:type="spellEnd"/>
      <w:r w:rsidRPr="00AD3F1B">
        <w:rPr>
          <w:i/>
          <w:iCs/>
          <w:vertAlign w:val="subscript"/>
          <w:lang w:val="en-GB"/>
        </w:rPr>
        <w:t>, t</w:t>
      </w:r>
      <w:r w:rsidRPr="00AD3F1B">
        <w:rPr>
          <w:lang w:val="en-GB"/>
        </w:rPr>
        <w:t xml:space="preserve"> = (</w:t>
      </w:r>
      <w:proofErr w:type="spellStart"/>
      <w:r w:rsidRPr="00AD3F1B">
        <w:rPr>
          <w:i/>
          <w:iCs/>
          <w:lang w:val="en-GB"/>
        </w:rPr>
        <w:t>P</w:t>
      </w:r>
      <w:r w:rsidRPr="00AD3F1B">
        <w:rPr>
          <w:i/>
          <w:iCs/>
          <w:vertAlign w:val="subscript"/>
          <w:lang w:val="en-GB"/>
        </w:rPr>
        <w:t>stETH</w:t>
      </w:r>
      <w:proofErr w:type="spellEnd"/>
      <w:r w:rsidRPr="00AD3F1B">
        <w:rPr>
          <w:i/>
          <w:iCs/>
          <w:vertAlign w:val="subscript"/>
          <w:lang w:val="en-GB"/>
        </w:rPr>
        <w:t>, t</w:t>
      </w:r>
      <w:r w:rsidRPr="00AD3F1B">
        <w:rPr>
          <w:lang w:val="en-GB"/>
        </w:rPr>
        <w:t xml:space="preserve"> − </w:t>
      </w:r>
      <w:r w:rsidRPr="00AD3F1B">
        <w:rPr>
          <w:i/>
          <w:iCs/>
          <w:lang w:val="en-GB"/>
        </w:rPr>
        <w:t>P</w:t>
      </w:r>
      <w:r w:rsidRPr="00AD3F1B">
        <w:rPr>
          <w:i/>
          <w:iCs/>
          <w:vertAlign w:val="subscript"/>
          <w:lang w:val="en-GB"/>
        </w:rPr>
        <w:t>ETH, t</w:t>
      </w:r>
      <w:r w:rsidRPr="00AD3F1B">
        <w:rPr>
          <w:lang w:val="en-GB"/>
        </w:rPr>
        <w:t xml:space="preserve">) / </w:t>
      </w:r>
      <w:r w:rsidRPr="00AD3F1B">
        <w:rPr>
          <w:i/>
          <w:iCs/>
          <w:lang w:val="en-GB"/>
        </w:rPr>
        <w:t>P</w:t>
      </w:r>
      <w:r w:rsidRPr="00AD3F1B">
        <w:rPr>
          <w:i/>
          <w:iCs/>
          <w:vertAlign w:val="subscript"/>
          <w:lang w:val="en-GB"/>
        </w:rPr>
        <w:t>ETH, t</w:t>
      </w:r>
    </w:p>
    <w:p w14:paraId="537C2922" w14:textId="77777777" w:rsidR="007A34D4" w:rsidRPr="00AD3F1B" w:rsidRDefault="00000000" w:rsidP="00AD3F1B">
      <w:pPr>
        <w:spacing w:line="360" w:lineRule="auto"/>
        <w:ind w:firstLine="709"/>
        <w:jc w:val="both"/>
      </w:pPr>
      <w:r w:rsidRPr="00AD3F1B">
        <w:t>O percentual de desvinculação da paridade (</w:t>
      </w:r>
      <w:proofErr w:type="spellStart"/>
      <w:r w:rsidRPr="00AD3F1B">
        <w:t>Depeg_t</w:t>
      </w:r>
      <w:proofErr w:type="spellEnd"/>
      <w:r w:rsidRPr="00AD3F1B">
        <w:t>) é expresso por:</w:t>
      </w:r>
    </w:p>
    <w:p w14:paraId="5D42DCCF" w14:textId="77777777" w:rsidR="007A34D4" w:rsidRPr="00AD3F1B" w:rsidRDefault="00000000" w:rsidP="00AD3F1B">
      <w:pPr>
        <w:spacing w:before="200" w:after="200"/>
        <w:jc w:val="both"/>
        <w:rPr>
          <w:lang w:val="en-GB"/>
        </w:rPr>
      </w:pPr>
      <w:proofErr w:type="spellStart"/>
      <w:r w:rsidRPr="00AD3F1B">
        <w:rPr>
          <w:i/>
          <w:iCs/>
          <w:lang w:val="en-GB"/>
        </w:rPr>
        <w:t>Depeg</w:t>
      </w:r>
      <w:r w:rsidRPr="00AD3F1B">
        <w:rPr>
          <w:i/>
          <w:iCs/>
          <w:vertAlign w:val="subscript"/>
          <w:lang w:val="en-GB"/>
        </w:rPr>
        <w:t>t</w:t>
      </w:r>
      <w:proofErr w:type="spellEnd"/>
      <w:r w:rsidRPr="00AD3F1B">
        <w:rPr>
          <w:lang w:val="en-GB"/>
        </w:rPr>
        <w:t xml:space="preserve"> = [(</w:t>
      </w:r>
      <w:proofErr w:type="spellStart"/>
      <w:r w:rsidRPr="00AD3F1B">
        <w:rPr>
          <w:i/>
          <w:iCs/>
          <w:lang w:val="en-GB"/>
        </w:rPr>
        <w:t>P</w:t>
      </w:r>
      <w:r w:rsidRPr="00AD3F1B">
        <w:rPr>
          <w:i/>
          <w:iCs/>
          <w:vertAlign w:val="subscript"/>
          <w:lang w:val="en-GB"/>
        </w:rPr>
        <w:t>stETH</w:t>
      </w:r>
      <w:proofErr w:type="spellEnd"/>
      <w:r w:rsidRPr="00AD3F1B">
        <w:rPr>
          <w:i/>
          <w:iCs/>
          <w:vertAlign w:val="subscript"/>
          <w:lang w:val="en-GB"/>
        </w:rPr>
        <w:t>, t</w:t>
      </w:r>
      <w:r w:rsidRPr="00AD3F1B">
        <w:rPr>
          <w:lang w:val="en-GB"/>
        </w:rPr>
        <w:t xml:space="preserve"> − </w:t>
      </w:r>
      <w:r w:rsidRPr="00AD3F1B">
        <w:rPr>
          <w:i/>
          <w:iCs/>
          <w:lang w:val="en-GB"/>
        </w:rPr>
        <w:t>P</w:t>
      </w:r>
      <w:r w:rsidRPr="00AD3F1B">
        <w:rPr>
          <w:i/>
          <w:iCs/>
          <w:vertAlign w:val="subscript"/>
          <w:lang w:val="en-GB"/>
        </w:rPr>
        <w:t>ETH, t</w:t>
      </w:r>
      <w:r w:rsidRPr="00AD3F1B">
        <w:rPr>
          <w:lang w:val="en-GB"/>
        </w:rPr>
        <w:t xml:space="preserve">) / </w:t>
      </w:r>
      <w:r w:rsidRPr="00AD3F1B">
        <w:rPr>
          <w:i/>
          <w:iCs/>
          <w:lang w:val="en-GB"/>
        </w:rPr>
        <w:t>P</w:t>
      </w:r>
      <w:r w:rsidRPr="00AD3F1B">
        <w:rPr>
          <w:i/>
          <w:iCs/>
          <w:vertAlign w:val="subscript"/>
          <w:lang w:val="en-GB"/>
        </w:rPr>
        <w:t>ETH, t</w:t>
      </w:r>
      <w:r w:rsidRPr="00AD3F1B">
        <w:rPr>
          <w:lang w:val="en-GB"/>
        </w:rPr>
        <w:t>] × 100</w:t>
      </w:r>
    </w:p>
    <w:p w14:paraId="691DDAC5" w14:textId="77777777" w:rsidR="007A34D4" w:rsidRPr="00AD3F1B" w:rsidRDefault="00000000" w:rsidP="00AD3F1B">
      <w:pPr>
        <w:spacing w:line="360" w:lineRule="auto"/>
        <w:ind w:firstLine="709"/>
        <w:jc w:val="both"/>
      </w:pPr>
      <w:r w:rsidRPr="00AD3F1B">
        <w:t xml:space="preserve">Para avaliar a amplitude absoluta das distorções de arbitragem (independentemente de ser ágio ou deságio), utiliza-se o valor absoluto do </w:t>
      </w:r>
      <w:proofErr w:type="spellStart"/>
      <w:r w:rsidRPr="00AD3F1B">
        <w:t>basis</w:t>
      </w:r>
      <w:proofErr w:type="spellEnd"/>
      <w:r w:rsidRPr="00AD3F1B">
        <w:t>:</w:t>
      </w:r>
    </w:p>
    <w:p w14:paraId="395EB526" w14:textId="77777777" w:rsidR="007A34D4" w:rsidRPr="00AD3F1B" w:rsidRDefault="00000000" w:rsidP="00AD3F1B">
      <w:pPr>
        <w:spacing w:before="200" w:after="200"/>
        <w:jc w:val="both"/>
      </w:pPr>
      <w:proofErr w:type="spellStart"/>
      <w:r w:rsidRPr="00AD3F1B">
        <w:rPr>
          <w:i/>
          <w:iCs/>
        </w:rPr>
        <w:t>Basis</w:t>
      </w:r>
      <w:r w:rsidRPr="00AD3F1B">
        <w:rPr>
          <w:i/>
          <w:iCs/>
          <w:vertAlign w:val="subscript"/>
        </w:rPr>
        <w:t>t</w:t>
      </w:r>
      <w:proofErr w:type="spellEnd"/>
      <w:r w:rsidRPr="00AD3F1B">
        <w:t xml:space="preserve"> = | </w:t>
      </w:r>
      <w:proofErr w:type="spellStart"/>
      <w:r w:rsidRPr="00AD3F1B">
        <w:rPr>
          <w:i/>
          <w:iCs/>
        </w:rPr>
        <w:t>Basis</w:t>
      </w:r>
      <w:r w:rsidRPr="00AD3F1B">
        <w:rPr>
          <w:i/>
          <w:iCs/>
          <w:vertAlign w:val="subscript"/>
        </w:rPr>
        <w:t>signed</w:t>
      </w:r>
      <w:proofErr w:type="spellEnd"/>
      <w:r w:rsidRPr="00AD3F1B">
        <w:rPr>
          <w:i/>
          <w:iCs/>
          <w:vertAlign w:val="subscript"/>
        </w:rPr>
        <w:t>, t</w:t>
      </w:r>
      <w:r w:rsidRPr="00AD3F1B">
        <w:t xml:space="preserve"> |</w:t>
      </w:r>
    </w:p>
    <w:p w14:paraId="015836C5" w14:textId="77777777" w:rsidR="007A34D4" w:rsidRPr="00AD3F1B" w:rsidRDefault="00000000" w:rsidP="00AD3F1B">
      <w:pPr>
        <w:spacing w:line="360" w:lineRule="auto"/>
        <w:ind w:firstLine="709"/>
        <w:jc w:val="both"/>
      </w:pPr>
      <w:r w:rsidRPr="00AD3F1B">
        <w:t xml:space="preserve">Nota técnica: Por se tratar de um token </w:t>
      </w:r>
      <w:proofErr w:type="spellStart"/>
      <w:r w:rsidRPr="00AD3F1B">
        <w:t>rebasable</w:t>
      </w:r>
      <w:proofErr w:type="spellEnd"/>
      <w:r w:rsidRPr="00AD3F1B">
        <w:t xml:space="preserve"> (onde o rendimento ajusta a quantidade de tokens em carteira mantendo a cotação nominal 1:1), a série temporal dispensa procedimentos de </w:t>
      </w:r>
      <w:proofErr w:type="spellStart"/>
      <w:r w:rsidRPr="00AD3F1B">
        <w:t>desdetendenciação</w:t>
      </w:r>
      <w:proofErr w:type="spellEnd"/>
      <w:r w:rsidRPr="00AD3F1B">
        <w:t xml:space="preserve"> (de-</w:t>
      </w:r>
      <w:proofErr w:type="spellStart"/>
      <w:r w:rsidRPr="00AD3F1B">
        <w:t>trending</w:t>
      </w:r>
      <w:proofErr w:type="spellEnd"/>
      <w:r w:rsidRPr="00AD3F1B">
        <w:t>).</w:t>
      </w:r>
    </w:p>
    <w:p w14:paraId="3039CD61" w14:textId="77777777" w:rsidR="007A34D4" w:rsidRPr="00AD3F1B" w:rsidRDefault="00000000" w:rsidP="00AD3F1B">
      <w:pPr>
        <w:pStyle w:val="Ttulo3"/>
        <w:spacing w:before="280" w:after="160" w:line="360" w:lineRule="auto"/>
        <w:jc w:val="both"/>
        <w:rPr>
          <w:color w:val="auto"/>
        </w:rPr>
      </w:pPr>
      <w:r w:rsidRPr="00AD3F1B">
        <w:rPr>
          <w:i/>
          <w:iCs/>
          <w:color w:val="auto"/>
        </w:rPr>
        <w:t>3.4.2 Volatilidade Diária e Anualizada</w:t>
      </w:r>
    </w:p>
    <w:p w14:paraId="3488C35A" w14:textId="77777777" w:rsidR="007A34D4" w:rsidRPr="00AD3F1B" w:rsidRDefault="00000000" w:rsidP="00AD3F1B">
      <w:pPr>
        <w:spacing w:line="360" w:lineRule="auto"/>
        <w:ind w:firstLine="709"/>
        <w:jc w:val="both"/>
      </w:pPr>
      <w:r w:rsidRPr="00AD3F1B">
        <w:t>A volatilidade mensura a dispersão dos retornos do ativo. Inicialmente, calcula-se o retorno diário logarítmico (</w:t>
      </w:r>
      <w:proofErr w:type="spellStart"/>
      <w:r w:rsidRPr="00AD3F1B">
        <w:t>R_t</w:t>
      </w:r>
      <w:proofErr w:type="spellEnd"/>
      <w:r w:rsidRPr="00AD3F1B">
        <w:t>):</w:t>
      </w:r>
    </w:p>
    <w:p w14:paraId="7DBB331D" w14:textId="77777777" w:rsidR="007A34D4" w:rsidRPr="00AD3F1B" w:rsidRDefault="00000000" w:rsidP="00AD3F1B">
      <w:pPr>
        <w:spacing w:before="200" w:after="200"/>
        <w:jc w:val="both"/>
      </w:pPr>
      <w:proofErr w:type="spellStart"/>
      <w:r w:rsidRPr="00AD3F1B">
        <w:rPr>
          <w:i/>
          <w:iCs/>
        </w:rPr>
        <w:t>R</w:t>
      </w:r>
      <w:r w:rsidRPr="00AD3F1B">
        <w:rPr>
          <w:i/>
          <w:iCs/>
          <w:vertAlign w:val="subscript"/>
        </w:rPr>
        <w:t>t</w:t>
      </w:r>
      <w:proofErr w:type="spellEnd"/>
      <w:r w:rsidRPr="00AD3F1B">
        <w:t xml:space="preserve"> = </w:t>
      </w:r>
      <w:proofErr w:type="spellStart"/>
      <w:proofErr w:type="gramStart"/>
      <w:r w:rsidRPr="00AD3F1B">
        <w:t>ln</w:t>
      </w:r>
      <w:proofErr w:type="spellEnd"/>
      <w:r w:rsidRPr="00AD3F1B">
        <w:t xml:space="preserve">( </w:t>
      </w:r>
      <w:proofErr w:type="spellStart"/>
      <w:r w:rsidRPr="00AD3F1B">
        <w:rPr>
          <w:i/>
          <w:iCs/>
        </w:rPr>
        <w:t>P</w:t>
      </w:r>
      <w:r w:rsidRPr="00AD3F1B">
        <w:rPr>
          <w:i/>
          <w:iCs/>
          <w:vertAlign w:val="subscript"/>
        </w:rPr>
        <w:t>t</w:t>
      </w:r>
      <w:proofErr w:type="spellEnd"/>
      <w:proofErr w:type="gramEnd"/>
      <w:r w:rsidRPr="00AD3F1B">
        <w:t xml:space="preserve"> / </w:t>
      </w:r>
      <w:r w:rsidRPr="00AD3F1B">
        <w:rPr>
          <w:i/>
          <w:iCs/>
        </w:rPr>
        <w:t>P</w:t>
      </w:r>
      <w:r w:rsidRPr="00AD3F1B">
        <w:rPr>
          <w:i/>
          <w:iCs/>
          <w:vertAlign w:val="subscript"/>
        </w:rPr>
        <w:t>t−1</w:t>
      </w:r>
      <w:r w:rsidRPr="00AD3F1B">
        <w:t xml:space="preserve"> )</w:t>
      </w:r>
    </w:p>
    <w:p w14:paraId="11A4D8CF" w14:textId="77777777" w:rsidR="007A34D4" w:rsidRPr="00AD3F1B" w:rsidRDefault="00000000" w:rsidP="00AD3F1B">
      <w:pPr>
        <w:spacing w:line="360" w:lineRule="auto"/>
        <w:ind w:firstLine="709"/>
        <w:jc w:val="both"/>
      </w:pPr>
      <w:r w:rsidRPr="00AD3F1B">
        <w:t>O desvio-padrão amostral (σ) representa a volatilidade diária:</w:t>
      </w:r>
    </w:p>
    <w:p w14:paraId="7C1E4367" w14:textId="77777777" w:rsidR="007A34D4" w:rsidRPr="00AD3F1B" w:rsidRDefault="00000000" w:rsidP="00AD3F1B">
      <w:pPr>
        <w:spacing w:before="200" w:after="200"/>
        <w:jc w:val="both"/>
      </w:pPr>
      <w:r w:rsidRPr="00AD3F1B">
        <w:lastRenderedPageBreak/>
        <w:t xml:space="preserve">σ = </w:t>
      </w:r>
      <w:proofErr w:type="gramStart"/>
      <w:r w:rsidRPr="00AD3F1B">
        <w:t>√[ (</w:t>
      </w:r>
      <w:proofErr w:type="gramEnd"/>
      <w:r w:rsidRPr="00AD3F1B">
        <w:t xml:space="preserve">1 / (N − 1)) × </w:t>
      </w:r>
      <w:proofErr w:type="spellStart"/>
      <w:r w:rsidRPr="00AD3F1B">
        <w:t>Σ</w:t>
      </w:r>
      <w:r w:rsidRPr="00AD3F1B">
        <w:rPr>
          <w:i/>
          <w:iCs/>
          <w:vertAlign w:val="subscript"/>
        </w:rPr>
        <w:t>t</w:t>
      </w:r>
      <w:proofErr w:type="spellEnd"/>
      <w:r w:rsidRPr="00AD3F1B">
        <w:rPr>
          <w:i/>
          <w:iCs/>
          <w:vertAlign w:val="subscript"/>
        </w:rPr>
        <w:t>=1</w:t>
      </w:r>
      <w:r w:rsidRPr="00AD3F1B">
        <w:rPr>
          <w:i/>
          <w:iCs/>
          <w:vertAlign w:val="superscript"/>
        </w:rPr>
        <w:t>N</w:t>
      </w:r>
      <w:r w:rsidRPr="00AD3F1B">
        <w:t xml:space="preserve"> (</w:t>
      </w:r>
      <w:proofErr w:type="spellStart"/>
      <w:r w:rsidRPr="00AD3F1B">
        <w:rPr>
          <w:i/>
          <w:iCs/>
        </w:rPr>
        <w:t>R</w:t>
      </w:r>
      <w:r w:rsidRPr="00AD3F1B">
        <w:rPr>
          <w:i/>
          <w:iCs/>
          <w:vertAlign w:val="subscript"/>
        </w:rPr>
        <w:t>t</w:t>
      </w:r>
      <w:proofErr w:type="spellEnd"/>
      <w:r w:rsidRPr="00AD3F1B">
        <w:t xml:space="preserve"> − </w:t>
      </w:r>
      <w:r w:rsidRPr="00AD3F1B">
        <w:rPr>
          <w:i/>
          <w:iCs/>
        </w:rPr>
        <w:t>R̄</w:t>
      </w:r>
      <w:r w:rsidRPr="00AD3F1B">
        <w:t>)²  ]</w:t>
      </w:r>
    </w:p>
    <w:p w14:paraId="300CCE30" w14:textId="77777777" w:rsidR="007A34D4" w:rsidRPr="00AD3F1B" w:rsidRDefault="00000000" w:rsidP="00AD3F1B">
      <w:pPr>
        <w:spacing w:line="360" w:lineRule="auto"/>
        <w:ind w:firstLine="709"/>
        <w:jc w:val="both"/>
      </w:pPr>
      <w:r w:rsidRPr="00AD3F1B">
        <w:t>Considerando o funcionamento ininterrupto do mercado de criptoativos (365 dias por ano), a volatilidade anualizada (</w:t>
      </w:r>
      <w:proofErr w:type="spellStart"/>
      <w:r w:rsidRPr="00AD3F1B">
        <w:t>σ_anual</w:t>
      </w:r>
      <w:proofErr w:type="spellEnd"/>
      <w:r w:rsidRPr="00AD3F1B">
        <w:t>) é dada por:</w:t>
      </w:r>
    </w:p>
    <w:p w14:paraId="764EE65E" w14:textId="77777777" w:rsidR="007A34D4" w:rsidRPr="00AD3F1B" w:rsidRDefault="00000000" w:rsidP="00AD3F1B">
      <w:pPr>
        <w:spacing w:before="200" w:after="200"/>
        <w:jc w:val="both"/>
      </w:pPr>
      <w:proofErr w:type="spellStart"/>
      <w:r w:rsidRPr="00AD3F1B">
        <w:rPr>
          <w:i/>
          <w:iCs/>
        </w:rPr>
        <w:t>σ</w:t>
      </w:r>
      <w:r w:rsidRPr="00AD3F1B">
        <w:rPr>
          <w:i/>
          <w:iCs/>
          <w:vertAlign w:val="subscript"/>
        </w:rPr>
        <w:t>anual</w:t>
      </w:r>
      <w:proofErr w:type="spellEnd"/>
      <w:r w:rsidRPr="00AD3F1B">
        <w:t xml:space="preserve"> = σ × √365</w:t>
      </w:r>
    </w:p>
    <w:p w14:paraId="4BE8A9AC" w14:textId="77777777" w:rsidR="007A34D4" w:rsidRPr="00AD3F1B" w:rsidRDefault="00000000" w:rsidP="00AD3F1B">
      <w:pPr>
        <w:pStyle w:val="Ttulo3"/>
        <w:spacing w:before="280" w:after="160" w:line="360" w:lineRule="auto"/>
        <w:jc w:val="both"/>
        <w:rPr>
          <w:color w:val="auto"/>
        </w:rPr>
      </w:pPr>
      <w:r w:rsidRPr="00AD3F1B">
        <w:rPr>
          <w:i/>
          <w:iCs/>
          <w:color w:val="auto"/>
        </w:rPr>
        <w:t>3.4.3 Rendimento Líquido Comparativo (</w:t>
      </w:r>
      <w:proofErr w:type="spellStart"/>
      <w:r w:rsidRPr="00AD3F1B">
        <w:rPr>
          <w:i/>
          <w:iCs/>
          <w:color w:val="auto"/>
        </w:rPr>
        <w:t>ΔYield</w:t>
      </w:r>
      <w:proofErr w:type="spellEnd"/>
      <w:r w:rsidRPr="00AD3F1B">
        <w:rPr>
          <w:i/>
          <w:iCs/>
          <w:color w:val="auto"/>
        </w:rPr>
        <w:t>)</w:t>
      </w:r>
    </w:p>
    <w:p w14:paraId="37C1F956" w14:textId="77777777" w:rsidR="007A34D4" w:rsidRPr="00AD3F1B" w:rsidRDefault="00000000" w:rsidP="00AD3F1B">
      <w:pPr>
        <w:spacing w:line="360" w:lineRule="auto"/>
        <w:ind w:firstLine="709"/>
        <w:jc w:val="both"/>
      </w:pPr>
      <w:r w:rsidRPr="00AD3F1B">
        <w:t>O diferencial de rentabilidade entre o liquid staking via Lido (</w:t>
      </w:r>
      <w:proofErr w:type="spellStart"/>
      <w:r w:rsidRPr="00AD3F1B">
        <w:t>APR_stETH</w:t>
      </w:r>
      <w:proofErr w:type="spellEnd"/>
      <w:r w:rsidRPr="00AD3F1B">
        <w:t>) e o staking direto na rede Ethereum (</w:t>
      </w:r>
      <w:proofErr w:type="spellStart"/>
      <w:r w:rsidRPr="00AD3F1B">
        <w:t>APR_direto</w:t>
      </w:r>
      <w:proofErr w:type="spellEnd"/>
      <w:r w:rsidRPr="00AD3F1B">
        <w:t>) é obtido por:</w:t>
      </w:r>
    </w:p>
    <w:p w14:paraId="27872785" w14:textId="77777777" w:rsidR="007A34D4" w:rsidRPr="00AD3F1B" w:rsidRDefault="00000000" w:rsidP="00AD3F1B">
      <w:pPr>
        <w:spacing w:before="200" w:after="200"/>
        <w:jc w:val="both"/>
      </w:pPr>
      <w:proofErr w:type="spellStart"/>
      <w:r w:rsidRPr="00AD3F1B">
        <w:rPr>
          <w:i/>
          <w:iCs/>
        </w:rPr>
        <w:t>ΔYield</w:t>
      </w:r>
      <w:r w:rsidRPr="00AD3F1B">
        <w:rPr>
          <w:i/>
          <w:iCs/>
          <w:vertAlign w:val="subscript"/>
        </w:rPr>
        <w:t>t</w:t>
      </w:r>
      <w:proofErr w:type="spellEnd"/>
      <w:r w:rsidRPr="00AD3F1B">
        <w:t xml:space="preserve"> = </w:t>
      </w:r>
      <w:proofErr w:type="spellStart"/>
      <w:r w:rsidRPr="00AD3F1B">
        <w:t>APR</w:t>
      </w:r>
      <w:r w:rsidRPr="00AD3F1B">
        <w:rPr>
          <w:i/>
          <w:iCs/>
          <w:vertAlign w:val="subscript"/>
        </w:rPr>
        <w:t>stETH</w:t>
      </w:r>
      <w:proofErr w:type="spellEnd"/>
      <w:r w:rsidRPr="00AD3F1B">
        <w:rPr>
          <w:i/>
          <w:iCs/>
          <w:vertAlign w:val="subscript"/>
        </w:rPr>
        <w:t>, t</w:t>
      </w:r>
      <w:r w:rsidRPr="00AD3F1B">
        <w:t xml:space="preserve"> − </w:t>
      </w:r>
      <w:proofErr w:type="spellStart"/>
      <w:r w:rsidRPr="00AD3F1B">
        <w:t>APR</w:t>
      </w:r>
      <w:r w:rsidRPr="00AD3F1B">
        <w:rPr>
          <w:i/>
          <w:iCs/>
          <w:vertAlign w:val="subscript"/>
        </w:rPr>
        <w:t>direto</w:t>
      </w:r>
      <w:proofErr w:type="spellEnd"/>
      <w:r w:rsidRPr="00AD3F1B">
        <w:rPr>
          <w:i/>
          <w:iCs/>
          <w:vertAlign w:val="subscript"/>
        </w:rPr>
        <w:t>, t</w:t>
      </w:r>
    </w:p>
    <w:p w14:paraId="0703D38A" w14:textId="77777777" w:rsidR="007A34D4" w:rsidRPr="00AD3F1B" w:rsidRDefault="00000000" w:rsidP="00AD3F1B">
      <w:pPr>
        <w:spacing w:line="360" w:lineRule="auto"/>
        <w:ind w:firstLine="709"/>
        <w:jc w:val="both"/>
      </w:pPr>
      <w:r w:rsidRPr="00AD3F1B">
        <w:t>Esta equação mensura o custo de oportunidade e a comissão de serviço de 10% retida pelo protocolo Lido (dividida em 5% para os operadores de nós e 5% para a tesouraria da DAO).</w:t>
      </w:r>
    </w:p>
    <w:p w14:paraId="38D70DC8" w14:textId="77777777" w:rsidR="007A34D4" w:rsidRPr="00AD3F1B" w:rsidRDefault="00000000" w:rsidP="00AD3F1B">
      <w:pPr>
        <w:pStyle w:val="Ttulo2"/>
        <w:spacing w:before="360" w:after="200" w:line="360" w:lineRule="auto"/>
        <w:jc w:val="both"/>
        <w:rPr>
          <w:color w:val="auto"/>
        </w:rPr>
      </w:pPr>
      <w:r w:rsidRPr="00AD3F1B">
        <w:rPr>
          <w:b/>
          <w:bCs/>
          <w:color w:val="auto"/>
          <w:sz w:val="24"/>
          <w:szCs w:val="24"/>
        </w:rPr>
        <w:t>3.5 Matriz de Alinhamento Metodológico</w:t>
      </w:r>
    </w:p>
    <w:p w14:paraId="2D38716C" w14:textId="77777777" w:rsidR="007A34D4" w:rsidRPr="00AD3F1B" w:rsidRDefault="00000000" w:rsidP="00AD3F1B">
      <w:pPr>
        <w:spacing w:line="360" w:lineRule="auto"/>
        <w:ind w:firstLine="709"/>
        <w:jc w:val="both"/>
      </w:pPr>
      <w:r w:rsidRPr="00AD3F1B">
        <w:t>A Tabela 1 sintetiza a coerência entre os Objetivos Específicos do TCC, as fontes de dados, os scripts em Python e as técnicas de análise aplicadas.</w:t>
      </w:r>
    </w:p>
    <w:p w14:paraId="696405D0" w14:textId="77777777" w:rsidR="007A34D4" w:rsidRPr="00AD3F1B" w:rsidRDefault="00000000" w:rsidP="00AD3F1B">
      <w:pPr>
        <w:spacing w:before="240" w:after="120"/>
        <w:jc w:val="both"/>
      </w:pPr>
      <w:r w:rsidRPr="00AD3F1B">
        <w:t>Tabela 1 – Matriz de Alinhamento Metodológico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3"/>
        <w:gridCol w:w="2648"/>
        <w:gridCol w:w="2115"/>
        <w:gridCol w:w="1855"/>
      </w:tblGrid>
      <w:tr w:rsidR="00AD3F1B" w:rsidRPr="00AD3F1B" w14:paraId="6475A1E5" w14:textId="77777777">
        <w:trPr>
          <w:tblHeader/>
        </w:trPr>
        <w:tc>
          <w:tcPr>
            <w:tcW w:w="2540" w:type="dxa"/>
            <w:shd w:val="clear" w:color="auto" w:fill="D9D9D9"/>
          </w:tcPr>
          <w:p w14:paraId="3D3FE4A3" w14:textId="77777777" w:rsidR="007A34D4" w:rsidRPr="00AD3F1B" w:rsidRDefault="00000000" w:rsidP="00AD3F1B">
            <w:pPr>
              <w:jc w:val="both"/>
            </w:pPr>
            <w:r w:rsidRPr="00AD3F1B">
              <w:rPr>
                <w:b/>
                <w:bCs/>
                <w:sz w:val="20"/>
                <w:szCs w:val="20"/>
              </w:rPr>
              <w:t>Objetivo Específico</w:t>
            </w:r>
          </w:p>
        </w:tc>
        <w:tc>
          <w:tcPr>
            <w:tcW w:w="2449" w:type="dxa"/>
            <w:shd w:val="clear" w:color="auto" w:fill="D9D9D9"/>
          </w:tcPr>
          <w:p w14:paraId="57332684" w14:textId="77777777" w:rsidR="007A34D4" w:rsidRPr="00AD3F1B" w:rsidRDefault="00000000" w:rsidP="00AD3F1B">
            <w:pPr>
              <w:jc w:val="both"/>
            </w:pPr>
            <w:r w:rsidRPr="00AD3F1B">
              <w:rPr>
                <w:b/>
                <w:bCs/>
                <w:sz w:val="20"/>
                <w:szCs w:val="20"/>
              </w:rPr>
              <w:t>Scripts / Fontes de Dados</w:t>
            </w:r>
          </w:p>
        </w:tc>
        <w:tc>
          <w:tcPr>
            <w:tcW w:w="2177" w:type="dxa"/>
            <w:shd w:val="clear" w:color="auto" w:fill="D9D9D9"/>
          </w:tcPr>
          <w:p w14:paraId="605985F8" w14:textId="77777777" w:rsidR="007A34D4" w:rsidRPr="00AD3F1B" w:rsidRDefault="00000000" w:rsidP="00AD3F1B">
            <w:pPr>
              <w:jc w:val="both"/>
            </w:pPr>
            <w:r w:rsidRPr="00AD3F1B">
              <w:rPr>
                <w:b/>
                <w:bCs/>
                <w:sz w:val="20"/>
                <w:szCs w:val="20"/>
              </w:rPr>
              <w:t>Variáveis / Métricas</w:t>
            </w:r>
          </w:p>
        </w:tc>
        <w:tc>
          <w:tcPr>
            <w:tcW w:w="1905" w:type="dxa"/>
            <w:shd w:val="clear" w:color="auto" w:fill="D9D9D9"/>
          </w:tcPr>
          <w:p w14:paraId="65756A23" w14:textId="77777777" w:rsidR="007A34D4" w:rsidRPr="00AD3F1B" w:rsidRDefault="00000000" w:rsidP="00AD3F1B">
            <w:pPr>
              <w:jc w:val="both"/>
            </w:pPr>
            <w:r w:rsidRPr="00AD3F1B">
              <w:rPr>
                <w:b/>
                <w:bCs/>
                <w:sz w:val="20"/>
                <w:szCs w:val="20"/>
              </w:rPr>
              <w:t>Método de Análise</w:t>
            </w:r>
          </w:p>
        </w:tc>
      </w:tr>
      <w:tr w:rsidR="00AD3F1B" w:rsidRPr="00AD3F1B" w14:paraId="118E496A" w14:textId="77777777">
        <w:tc>
          <w:tcPr>
            <w:tcW w:w="2540" w:type="dxa"/>
          </w:tcPr>
          <w:p w14:paraId="0FD0BE96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>1. Levantar e comparar o histórico de rendimento</w:t>
            </w:r>
          </w:p>
        </w:tc>
        <w:tc>
          <w:tcPr>
            <w:tcW w:w="2449" w:type="dxa"/>
          </w:tcPr>
          <w:p w14:paraId="562C45A6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>03_coleta_apr_lido.py</w:t>
            </w:r>
          </w:p>
          <w:p w14:paraId="7B78E43E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>07_coleta_apr_staking_direto.py</w:t>
            </w:r>
          </w:p>
          <w:p w14:paraId="67D910C9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>(</w:t>
            </w:r>
            <w:proofErr w:type="spellStart"/>
            <w:r w:rsidRPr="00AD3F1B">
              <w:rPr>
                <w:sz w:val="20"/>
                <w:szCs w:val="20"/>
              </w:rPr>
              <w:t>DefiLlama</w:t>
            </w:r>
            <w:proofErr w:type="spellEnd"/>
            <w:r w:rsidRPr="00AD3F1B">
              <w:rPr>
                <w:sz w:val="20"/>
                <w:szCs w:val="20"/>
              </w:rPr>
              <w:t xml:space="preserve"> / </w:t>
            </w:r>
            <w:proofErr w:type="spellStart"/>
            <w:r w:rsidRPr="00AD3F1B">
              <w:rPr>
                <w:sz w:val="20"/>
                <w:szCs w:val="20"/>
              </w:rPr>
              <w:t>Dune</w:t>
            </w:r>
            <w:proofErr w:type="spellEnd"/>
            <w:r w:rsidRPr="00AD3F1B">
              <w:rPr>
                <w:sz w:val="20"/>
                <w:szCs w:val="20"/>
              </w:rPr>
              <w:t>)</w:t>
            </w:r>
          </w:p>
        </w:tc>
        <w:tc>
          <w:tcPr>
            <w:tcW w:w="2177" w:type="dxa"/>
          </w:tcPr>
          <w:p w14:paraId="0D65EF60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 xml:space="preserve">APR </w:t>
            </w:r>
            <w:proofErr w:type="spellStart"/>
            <w:r w:rsidRPr="00AD3F1B">
              <w:rPr>
                <w:sz w:val="20"/>
                <w:szCs w:val="20"/>
              </w:rPr>
              <w:t>stETH</w:t>
            </w:r>
            <w:proofErr w:type="spellEnd"/>
            <w:r w:rsidRPr="00AD3F1B">
              <w:rPr>
                <w:sz w:val="20"/>
                <w:szCs w:val="20"/>
              </w:rPr>
              <w:t xml:space="preserve">, APR direto, </w:t>
            </w:r>
            <w:proofErr w:type="spellStart"/>
            <w:r w:rsidRPr="00AD3F1B">
              <w:rPr>
                <w:sz w:val="20"/>
                <w:szCs w:val="20"/>
              </w:rPr>
              <w:t>ΔYield</w:t>
            </w:r>
            <w:proofErr w:type="spellEnd"/>
          </w:p>
        </w:tc>
        <w:tc>
          <w:tcPr>
            <w:tcW w:w="1905" w:type="dxa"/>
          </w:tcPr>
          <w:p w14:paraId="1A9CEF1F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>Análise de séries temporais e estatística descritiva (Média e Mediana)</w:t>
            </w:r>
          </w:p>
        </w:tc>
      </w:tr>
      <w:tr w:rsidR="00AD3F1B" w:rsidRPr="00AD3F1B" w14:paraId="69DE5433" w14:textId="77777777">
        <w:tc>
          <w:tcPr>
            <w:tcW w:w="2540" w:type="dxa"/>
          </w:tcPr>
          <w:p w14:paraId="1AA3101F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 xml:space="preserve">2. Analisar volatilidade e riscos de </w:t>
            </w:r>
            <w:proofErr w:type="spellStart"/>
            <w:r w:rsidRPr="00AD3F1B">
              <w:rPr>
                <w:sz w:val="20"/>
                <w:szCs w:val="20"/>
              </w:rPr>
              <w:t>depeg</w:t>
            </w:r>
            <w:proofErr w:type="spellEnd"/>
          </w:p>
        </w:tc>
        <w:tc>
          <w:tcPr>
            <w:tcW w:w="2449" w:type="dxa"/>
          </w:tcPr>
          <w:p w14:paraId="7CAE39F8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>01_coleta_depeg_steth_eth.py</w:t>
            </w:r>
          </w:p>
          <w:p w14:paraId="42F2CE96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>02_coleta_preco_eth_usd.py</w:t>
            </w:r>
          </w:p>
          <w:p w14:paraId="77EC351E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>(</w:t>
            </w:r>
            <w:proofErr w:type="spellStart"/>
            <w:r w:rsidRPr="00AD3F1B">
              <w:rPr>
                <w:sz w:val="20"/>
                <w:szCs w:val="20"/>
              </w:rPr>
              <w:t>DefiLlama</w:t>
            </w:r>
            <w:proofErr w:type="spellEnd"/>
            <w:r w:rsidRPr="00AD3F1B">
              <w:rPr>
                <w:sz w:val="20"/>
                <w:szCs w:val="20"/>
              </w:rPr>
              <w:t xml:space="preserve"> / </w:t>
            </w:r>
            <w:proofErr w:type="spellStart"/>
            <w:r w:rsidRPr="00AD3F1B">
              <w:rPr>
                <w:sz w:val="20"/>
                <w:szCs w:val="20"/>
              </w:rPr>
              <w:t>CoinGecko</w:t>
            </w:r>
            <w:proofErr w:type="spellEnd"/>
            <w:r w:rsidRPr="00AD3F1B">
              <w:rPr>
                <w:sz w:val="20"/>
                <w:szCs w:val="20"/>
              </w:rPr>
              <w:t>)</w:t>
            </w:r>
          </w:p>
        </w:tc>
        <w:tc>
          <w:tcPr>
            <w:tcW w:w="2177" w:type="dxa"/>
          </w:tcPr>
          <w:p w14:paraId="3BBEBDEE" w14:textId="77777777" w:rsidR="007A34D4" w:rsidRPr="00AD3F1B" w:rsidRDefault="00000000" w:rsidP="00AD3F1B">
            <w:pPr>
              <w:jc w:val="both"/>
              <w:rPr>
                <w:lang w:val="en-GB"/>
              </w:rPr>
            </w:pPr>
            <w:r w:rsidRPr="00AD3F1B">
              <w:rPr>
                <w:sz w:val="20"/>
                <w:szCs w:val="20"/>
                <w:lang w:val="en-GB"/>
              </w:rPr>
              <w:t xml:space="preserve">P </w:t>
            </w:r>
            <w:proofErr w:type="spellStart"/>
            <w:r w:rsidRPr="00AD3F1B">
              <w:rPr>
                <w:sz w:val="20"/>
                <w:szCs w:val="20"/>
                <w:lang w:val="en-GB"/>
              </w:rPr>
              <w:t>stETH</w:t>
            </w:r>
            <w:proofErr w:type="spellEnd"/>
            <w:r w:rsidRPr="00AD3F1B">
              <w:rPr>
                <w:sz w:val="20"/>
                <w:szCs w:val="20"/>
                <w:lang w:val="en-GB"/>
              </w:rPr>
              <w:t xml:space="preserve">, P ETH, </w:t>
            </w:r>
            <w:proofErr w:type="spellStart"/>
            <w:r w:rsidRPr="00AD3F1B">
              <w:rPr>
                <w:sz w:val="20"/>
                <w:szCs w:val="20"/>
                <w:lang w:val="en-GB"/>
              </w:rPr>
              <w:t>Basis_t</w:t>
            </w:r>
            <w:proofErr w:type="spellEnd"/>
            <w:r w:rsidRPr="00AD3F1B">
              <w:rPr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AD3F1B">
              <w:rPr>
                <w:sz w:val="20"/>
                <w:szCs w:val="20"/>
                <w:lang w:val="en-GB"/>
              </w:rPr>
              <w:t>Depeg_t</w:t>
            </w:r>
            <w:proofErr w:type="spellEnd"/>
            <w:r w:rsidRPr="00AD3F1B">
              <w:rPr>
                <w:sz w:val="20"/>
                <w:szCs w:val="20"/>
                <w:lang w:val="en-GB"/>
              </w:rPr>
              <w:t xml:space="preserve">, </w:t>
            </w:r>
            <w:r w:rsidRPr="00AD3F1B">
              <w:rPr>
                <w:sz w:val="20"/>
                <w:szCs w:val="20"/>
              </w:rPr>
              <w:t>σ</w:t>
            </w:r>
            <w:r w:rsidRPr="00AD3F1B">
              <w:rPr>
                <w:sz w:val="20"/>
                <w:szCs w:val="20"/>
                <w:lang w:val="en-GB"/>
              </w:rPr>
              <w:t>_</w:t>
            </w:r>
            <w:proofErr w:type="spellStart"/>
            <w:r w:rsidRPr="00AD3F1B">
              <w:rPr>
                <w:sz w:val="20"/>
                <w:szCs w:val="20"/>
                <w:lang w:val="en-GB"/>
              </w:rPr>
              <w:t>anual</w:t>
            </w:r>
            <w:proofErr w:type="spellEnd"/>
          </w:p>
        </w:tc>
        <w:tc>
          <w:tcPr>
            <w:tcW w:w="1905" w:type="dxa"/>
          </w:tcPr>
          <w:p w14:paraId="1F891B05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 xml:space="preserve">Cálculo do </w:t>
            </w:r>
            <w:proofErr w:type="spellStart"/>
            <w:r w:rsidRPr="00AD3F1B">
              <w:rPr>
                <w:sz w:val="20"/>
                <w:szCs w:val="20"/>
              </w:rPr>
              <w:t>Basis</w:t>
            </w:r>
            <w:proofErr w:type="spellEnd"/>
            <w:r w:rsidRPr="00AD3F1B">
              <w:rPr>
                <w:sz w:val="20"/>
                <w:szCs w:val="20"/>
              </w:rPr>
              <w:t>, Desvio-Padrão e identificação de picos de estresse</w:t>
            </w:r>
          </w:p>
        </w:tc>
      </w:tr>
      <w:tr w:rsidR="00AD3F1B" w:rsidRPr="00AD3F1B" w14:paraId="5F0F8362" w14:textId="77777777">
        <w:tc>
          <w:tcPr>
            <w:tcW w:w="2540" w:type="dxa"/>
          </w:tcPr>
          <w:p w14:paraId="11510A03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>3. Mapear riscos e vantagens do liquid staking</w:t>
            </w:r>
          </w:p>
        </w:tc>
        <w:tc>
          <w:tcPr>
            <w:tcW w:w="2449" w:type="dxa"/>
          </w:tcPr>
          <w:p w14:paraId="6CF9D4A0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>04_coleta_tvl_lido.py</w:t>
            </w:r>
          </w:p>
          <w:p w14:paraId="475EFF87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>06_coleta_market_share_lsd.py</w:t>
            </w:r>
          </w:p>
          <w:p w14:paraId="227DAC32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>(</w:t>
            </w:r>
            <w:proofErr w:type="spellStart"/>
            <w:r w:rsidRPr="00AD3F1B">
              <w:rPr>
                <w:sz w:val="20"/>
                <w:szCs w:val="20"/>
              </w:rPr>
              <w:t>DefiLlama</w:t>
            </w:r>
            <w:proofErr w:type="spellEnd"/>
            <w:r w:rsidRPr="00AD3F1B">
              <w:rPr>
                <w:sz w:val="20"/>
                <w:szCs w:val="20"/>
              </w:rPr>
              <w:t xml:space="preserve"> / </w:t>
            </w:r>
            <w:proofErr w:type="spellStart"/>
            <w:r w:rsidRPr="00AD3F1B">
              <w:rPr>
                <w:sz w:val="20"/>
                <w:szCs w:val="20"/>
              </w:rPr>
              <w:t>ChainSecurity</w:t>
            </w:r>
            <w:proofErr w:type="spellEnd"/>
            <w:r w:rsidRPr="00AD3F1B">
              <w:rPr>
                <w:sz w:val="20"/>
                <w:szCs w:val="20"/>
              </w:rPr>
              <w:t xml:space="preserve"> / Galaxy Digital)</w:t>
            </w:r>
          </w:p>
        </w:tc>
        <w:tc>
          <w:tcPr>
            <w:tcW w:w="2177" w:type="dxa"/>
          </w:tcPr>
          <w:p w14:paraId="4A43BEF3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 xml:space="preserve">TVL Lido, Market </w:t>
            </w:r>
            <w:proofErr w:type="spellStart"/>
            <w:r w:rsidRPr="00AD3F1B">
              <w:rPr>
                <w:sz w:val="20"/>
                <w:szCs w:val="20"/>
              </w:rPr>
              <w:t>Share</w:t>
            </w:r>
            <w:proofErr w:type="spellEnd"/>
            <w:r w:rsidRPr="00AD3F1B">
              <w:rPr>
                <w:sz w:val="20"/>
                <w:szCs w:val="20"/>
              </w:rPr>
              <w:t xml:space="preserve"> LSD, Índice HHI, Risco de </w:t>
            </w:r>
            <w:proofErr w:type="spellStart"/>
            <w:r w:rsidRPr="00AD3F1B">
              <w:rPr>
                <w:sz w:val="20"/>
                <w:szCs w:val="20"/>
              </w:rPr>
              <w:t>Smart</w:t>
            </w:r>
            <w:proofErr w:type="spellEnd"/>
            <w:r w:rsidRPr="00AD3F1B">
              <w:rPr>
                <w:sz w:val="20"/>
                <w:szCs w:val="20"/>
              </w:rPr>
              <w:t xml:space="preserve"> </w:t>
            </w:r>
            <w:proofErr w:type="spellStart"/>
            <w:r w:rsidRPr="00AD3F1B">
              <w:rPr>
                <w:sz w:val="20"/>
                <w:szCs w:val="20"/>
              </w:rPr>
              <w:t>Contract</w:t>
            </w:r>
            <w:proofErr w:type="spellEnd"/>
          </w:p>
        </w:tc>
        <w:tc>
          <w:tcPr>
            <w:tcW w:w="1905" w:type="dxa"/>
          </w:tcPr>
          <w:p w14:paraId="24014061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>Análise documental e síntese qualitativa de relatórios de auditoria</w:t>
            </w:r>
          </w:p>
        </w:tc>
      </w:tr>
      <w:tr w:rsidR="00AD3F1B" w:rsidRPr="00AD3F1B" w14:paraId="01C4E4E2" w14:textId="77777777">
        <w:tc>
          <w:tcPr>
            <w:tcW w:w="2540" w:type="dxa"/>
          </w:tcPr>
          <w:p w14:paraId="71301EA4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>4. Discutir implicações estratégicas de investimento</w:t>
            </w:r>
          </w:p>
        </w:tc>
        <w:tc>
          <w:tcPr>
            <w:tcW w:w="2449" w:type="dxa"/>
          </w:tcPr>
          <w:p w14:paraId="5E1463D3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>Base consolidada (08_tratamento_e_metricas.py) e revisão bibliográfica</w:t>
            </w:r>
          </w:p>
        </w:tc>
        <w:tc>
          <w:tcPr>
            <w:tcW w:w="2177" w:type="dxa"/>
          </w:tcPr>
          <w:p w14:paraId="4F46855F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 xml:space="preserve">Trade-off Risco x Retorno, Eficiência de Capital, Alavancagem em </w:t>
            </w:r>
            <w:proofErr w:type="spellStart"/>
            <w:r w:rsidRPr="00AD3F1B">
              <w:rPr>
                <w:sz w:val="20"/>
                <w:szCs w:val="20"/>
              </w:rPr>
              <w:t>LSDfi</w:t>
            </w:r>
            <w:proofErr w:type="spellEnd"/>
          </w:p>
        </w:tc>
        <w:tc>
          <w:tcPr>
            <w:tcW w:w="1905" w:type="dxa"/>
          </w:tcPr>
          <w:p w14:paraId="5F7760AE" w14:textId="77777777" w:rsidR="007A34D4" w:rsidRPr="00AD3F1B" w:rsidRDefault="00000000" w:rsidP="00AD3F1B">
            <w:pPr>
              <w:jc w:val="both"/>
            </w:pPr>
            <w:r w:rsidRPr="00AD3F1B">
              <w:rPr>
                <w:sz w:val="20"/>
                <w:szCs w:val="20"/>
              </w:rPr>
              <w:t>—</w:t>
            </w:r>
          </w:p>
        </w:tc>
      </w:tr>
    </w:tbl>
    <w:p w14:paraId="798D5444" w14:textId="77777777" w:rsidR="007A34D4" w:rsidRPr="00AD3F1B" w:rsidRDefault="00000000" w:rsidP="00AD3F1B">
      <w:pPr>
        <w:spacing w:before="120" w:after="240"/>
        <w:jc w:val="both"/>
      </w:pPr>
      <w:r w:rsidRPr="00AD3F1B">
        <w:rPr>
          <w:sz w:val="20"/>
          <w:szCs w:val="20"/>
        </w:rPr>
        <w:t>Fonte: Elaborado pelo autor (2026).</w:t>
      </w:r>
    </w:p>
    <w:sectPr w:rsidR="007A34D4" w:rsidRPr="00AD3F1B">
      <w:headerReference w:type="default" r:id="rId7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C281A" w14:textId="77777777" w:rsidR="00F24211" w:rsidRDefault="00F24211">
      <w:r>
        <w:separator/>
      </w:r>
    </w:p>
  </w:endnote>
  <w:endnote w:type="continuationSeparator" w:id="0">
    <w:p w14:paraId="0E39AF65" w14:textId="77777777" w:rsidR="00F24211" w:rsidRDefault="00F24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E62979" w14:textId="77777777" w:rsidR="00F24211" w:rsidRDefault="00F24211">
      <w:r>
        <w:separator/>
      </w:r>
    </w:p>
  </w:footnote>
  <w:footnote w:type="continuationSeparator" w:id="0">
    <w:p w14:paraId="71962737" w14:textId="77777777" w:rsidR="00F24211" w:rsidRDefault="00F24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C0441" w14:textId="77777777" w:rsidR="007A34D4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D3F1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6581B"/>
    <w:multiLevelType w:val="hybridMultilevel"/>
    <w:tmpl w:val="85A0B860"/>
    <w:lvl w:ilvl="0" w:tplc="B8CE3584">
      <w:start w:val="1"/>
      <w:numFmt w:val="bullet"/>
      <w:lvlText w:val="●"/>
      <w:lvlJc w:val="left"/>
      <w:pPr>
        <w:ind w:left="720" w:hanging="360"/>
      </w:pPr>
    </w:lvl>
    <w:lvl w:ilvl="1" w:tplc="69926EC4">
      <w:start w:val="1"/>
      <w:numFmt w:val="bullet"/>
      <w:lvlText w:val="○"/>
      <w:lvlJc w:val="left"/>
      <w:pPr>
        <w:ind w:left="1440" w:hanging="360"/>
      </w:pPr>
    </w:lvl>
    <w:lvl w:ilvl="2" w:tplc="C37E4708">
      <w:start w:val="1"/>
      <w:numFmt w:val="bullet"/>
      <w:lvlText w:val="■"/>
      <w:lvlJc w:val="left"/>
      <w:pPr>
        <w:ind w:left="2160" w:hanging="360"/>
      </w:pPr>
    </w:lvl>
    <w:lvl w:ilvl="3" w:tplc="8BF26C5A">
      <w:start w:val="1"/>
      <w:numFmt w:val="bullet"/>
      <w:lvlText w:val="●"/>
      <w:lvlJc w:val="left"/>
      <w:pPr>
        <w:ind w:left="2880" w:hanging="360"/>
      </w:pPr>
    </w:lvl>
    <w:lvl w:ilvl="4" w:tplc="2F3C9704">
      <w:start w:val="1"/>
      <w:numFmt w:val="bullet"/>
      <w:lvlText w:val="○"/>
      <w:lvlJc w:val="left"/>
      <w:pPr>
        <w:ind w:left="3600" w:hanging="360"/>
      </w:pPr>
    </w:lvl>
    <w:lvl w:ilvl="5" w:tplc="04C8EF8E">
      <w:start w:val="1"/>
      <w:numFmt w:val="bullet"/>
      <w:lvlText w:val="■"/>
      <w:lvlJc w:val="left"/>
      <w:pPr>
        <w:ind w:left="4320" w:hanging="360"/>
      </w:pPr>
    </w:lvl>
    <w:lvl w:ilvl="6" w:tplc="C302E0A0">
      <w:start w:val="1"/>
      <w:numFmt w:val="bullet"/>
      <w:lvlText w:val="●"/>
      <w:lvlJc w:val="left"/>
      <w:pPr>
        <w:ind w:left="5040" w:hanging="360"/>
      </w:pPr>
    </w:lvl>
    <w:lvl w:ilvl="7" w:tplc="E140D486">
      <w:start w:val="1"/>
      <w:numFmt w:val="bullet"/>
      <w:lvlText w:val="●"/>
      <w:lvlJc w:val="left"/>
      <w:pPr>
        <w:ind w:left="5760" w:hanging="360"/>
      </w:pPr>
    </w:lvl>
    <w:lvl w:ilvl="8" w:tplc="D6C0031C">
      <w:start w:val="1"/>
      <w:numFmt w:val="bullet"/>
      <w:lvlText w:val="●"/>
      <w:lvlJc w:val="left"/>
      <w:pPr>
        <w:ind w:left="6480" w:hanging="360"/>
      </w:pPr>
    </w:lvl>
  </w:abstractNum>
  <w:num w:numId="1" w16cid:durableId="1647278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4D4"/>
    <w:rsid w:val="002D2528"/>
    <w:rsid w:val="007A34D4"/>
    <w:rsid w:val="00AD3F1B"/>
    <w:rsid w:val="00AE1EA8"/>
    <w:rsid w:val="00DC4F05"/>
    <w:rsid w:val="00F24211"/>
    <w:rsid w:val="00F9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3099F"/>
  <w15:docId w15:val="{75D803EC-AFF1-4760-A16E-C76FBBA1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3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1146</Words>
  <Characters>6191</Characters>
  <Application>Microsoft Office Word</Application>
  <DocSecurity>0</DocSecurity>
  <Lines>51</Lines>
  <Paragraphs>14</Paragraphs>
  <ScaleCrop>false</ScaleCrop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Metodologia</dc:title>
  <dc:creator>Autor</dc:creator>
  <cp:lastModifiedBy>matheus costa</cp:lastModifiedBy>
  <cp:revision>4</cp:revision>
  <dcterms:created xsi:type="dcterms:W3CDTF">2026-07-27T10:26:00Z</dcterms:created>
  <dcterms:modified xsi:type="dcterms:W3CDTF">2026-08-01T14:45:00Z</dcterms:modified>
</cp:coreProperties>
</file>