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9F9" w:rsidRDefault="00CD2CE5" w:rsidP="009C69C1">
      <w:pPr>
        <w:rPr>
          <w:rFonts w:eastAsiaTheme="minorEastAsia"/>
        </w:rPr>
      </w:pPr>
      <w:proofErr w:type="spellStart"/>
      <w:r>
        <w:rPr>
          <w:rFonts w:eastAsiaTheme="minorEastAsia"/>
        </w:rPr>
        <w:t>Hypotheis</w:t>
      </w:r>
      <w:proofErr w:type="spellEnd"/>
      <w:r>
        <w:rPr>
          <w:rFonts w:eastAsiaTheme="minorEastAsia"/>
        </w:rPr>
        <w:t xml:space="preserve"> Testing process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969"/>
        <w:gridCol w:w="4598"/>
      </w:tblGrid>
      <w:tr w:rsidR="00CD2CE5" w:rsidTr="00AF7D8C">
        <w:tc>
          <w:tcPr>
            <w:tcW w:w="675" w:type="dxa"/>
          </w:tcPr>
          <w:p w:rsidR="00CD2CE5" w:rsidRDefault="00CD2CE5" w:rsidP="00AF7D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8567" w:type="dxa"/>
            <w:gridSpan w:val="2"/>
          </w:tcPr>
          <w:p w:rsidR="00CD2CE5" w:rsidRDefault="00CD2CE5" w:rsidP="00AF7D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Write out the  Null hypothesis and alternative hypothesis</w:t>
            </w:r>
          </w:p>
        </w:tc>
      </w:tr>
      <w:tr w:rsidR="00CD2CE5" w:rsidTr="00AF7D8C">
        <w:tc>
          <w:tcPr>
            <w:tcW w:w="675" w:type="dxa"/>
          </w:tcPr>
          <w:p w:rsidR="00CD2CE5" w:rsidRDefault="00CD2CE5" w:rsidP="00AF7D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8567" w:type="dxa"/>
            <w:gridSpan w:val="2"/>
          </w:tcPr>
          <w:p w:rsidR="00CD2CE5" w:rsidRDefault="00CD2CE5" w:rsidP="00AF7D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Compute the </w:t>
            </w:r>
            <w:proofErr w:type="spellStart"/>
            <w:r>
              <w:rPr>
                <w:rFonts w:eastAsiaTheme="minorEastAsia"/>
              </w:rPr>
              <w:t>the</w:t>
            </w:r>
            <w:proofErr w:type="spellEnd"/>
            <w:r>
              <w:rPr>
                <w:rFonts w:eastAsiaTheme="minorEastAsia"/>
              </w:rPr>
              <w:t xml:space="preserve"> test statistic, using the appropriate standard error </w:t>
            </w:r>
            <w:proofErr w:type="spellStart"/>
            <w:r>
              <w:rPr>
                <w:rFonts w:eastAsiaTheme="minorEastAsia"/>
              </w:rPr>
              <w:t>va;ue</w:t>
            </w:r>
            <w:proofErr w:type="spellEnd"/>
          </w:p>
        </w:tc>
      </w:tr>
      <w:tr w:rsidR="00CD2CE5" w:rsidTr="00AF7D8C">
        <w:tc>
          <w:tcPr>
            <w:tcW w:w="675" w:type="dxa"/>
          </w:tcPr>
          <w:p w:rsidR="00CD2CE5" w:rsidRDefault="00CD2CE5" w:rsidP="00AF7D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969" w:type="dxa"/>
          </w:tcPr>
          <w:p w:rsidR="00CD2CE5" w:rsidRDefault="00CD2CE5" w:rsidP="00AF7D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the critical value</w:t>
            </w:r>
          </w:p>
        </w:tc>
        <w:tc>
          <w:tcPr>
            <w:tcW w:w="4598" w:type="dxa"/>
          </w:tcPr>
          <w:p w:rsidR="00CD2CE5" w:rsidRDefault="00CD2CE5" w:rsidP="00AF7D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determine the p-value</w:t>
            </w:r>
          </w:p>
        </w:tc>
      </w:tr>
      <w:tr w:rsidR="00CD2CE5" w:rsidTr="00AF7D8C">
        <w:tc>
          <w:tcPr>
            <w:tcW w:w="675" w:type="dxa"/>
          </w:tcPr>
          <w:p w:rsidR="00CD2CE5" w:rsidRDefault="00CD2CE5" w:rsidP="00AF7D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969" w:type="dxa"/>
          </w:tcPr>
          <w:p w:rsidR="00CD2CE5" w:rsidRDefault="0076472F" w:rsidP="0076472F">
            <w:pPr>
              <w:tabs>
                <w:tab w:val="left" w:pos="1365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Decision Rule for TS and CV</w:t>
            </w:r>
          </w:p>
        </w:tc>
        <w:tc>
          <w:tcPr>
            <w:tcW w:w="4598" w:type="dxa"/>
          </w:tcPr>
          <w:p w:rsidR="00CD2CE5" w:rsidRDefault="0076472F" w:rsidP="00AF7D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Decision Rule for p-value and threshold</w:t>
            </w:r>
          </w:p>
        </w:tc>
      </w:tr>
    </w:tbl>
    <w:p w:rsidR="00CD2CE5" w:rsidRDefault="00CD2CE5" w:rsidP="009C69C1">
      <w:pPr>
        <w:rPr>
          <w:rFonts w:eastAsiaTheme="minorEastAsia"/>
        </w:rPr>
      </w:pPr>
      <w:bookmarkStart w:id="0" w:name="_GoBack"/>
      <w:bookmarkEnd w:id="0"/>
    </w:p>
    <w:p w:rsidR="0076472F" w:rsidRDefault="0076472F" w:rsidP="009C69C1">
      <w:pPr>
        <w:rPr>
          <w:rFonts w:eastAsiaTheme="minorEastAsia"/>
        </w:rPr>
      </w:pPr>
      <w:r>
        <w:rPr>
          <w:rFonts w:eastAsiaTheme="minorEastAsia"/>
        </w:rPr>
        <w:t>One Sample tests</w:t>
      </w:r>
    </w:p>
    <w:p w:rsidR="0076472F" w:rsidRPr="0076472F" w:rsidRDefault="0076472F" w:rsidP="0076472F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76472F">
        <w:rPr>
          <w:rFonts w:eastAsiaTheme="minorEastAsia"/>
        </w:rPr>
        <w:t>1 sample mean</w:t>
      </w:r>
    </w:p>
    <w:p w:rsidR="0076472F" w:rsidRPr="0076472F" w:rsidRDefault="0076472F" w:rsidP="0076472F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76472F">
        <w:rPr>
          <w:rFonts w:eastAsiaTheme="minorEastAsia"/>
        </w:rPr>
        <w:t>Single sample proportion</w:t>
      </w:r>
    </w:p>
    <w:p w:rsidR="0076472F" w:rsidRPr="0076472F" w:rsidRDefault="0076472F" w:rsidP="0076472F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76472F">
        <w:rPr>
          <w:rFonts w:eastAsiaTheme="minorEastAsia"/>
        </w:rPr>
        <w:t>Paired sample test (specifically the case-wise differences)</w:t>
      </w:r>
    </w:p>
    <w:p w:rsidR="0076472F" w:rsidRDefault="0076472F" w:rsidP="009C69C1">
      <w:pPr>
        <w:rPr>
          <w:rFonts w:eastAsiaTheme="minorEastAsia"/>
        </w:rPr>
      </w:pPr>
      <w:r>
        <w:rPr>
          <w:rFonts w:eastAsiaTheme="minorEastAsia"/>
        </w:rPr>
        <w:t>Two sample</w:t>
      </w:r>
    </w:p>
    <w:p w:rsidR="0076472F" w:rsidRPr="0076472F" w:rsidRDefault="0076472F" w:rsidP="0076472F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76472F">
        <w:rPr>
          <w:rFonts w:eastAsiaTheme="minorEastAsia"/>
        </w:rPr>
        <w:t>Difference of two independent sample means</w:t>
      </w:r>
    </w:p>
    <w:p w:rsidR="0076472F" w:rsidRPr="0076472F" w:rsidRDefault="0076472F" w:rsidP="0076472F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76472F">
        <w:rPr>
          <w:rFonts w:eastAsiaTheme="minorEastAsia"/>
        </w:rPr>
        <w:t>Difference in two sample proportions</w:t>
      </w:r>
    </w:p>
    <w:p w:rsidR="0076472F" w:rsidRDefault="0076472F" w:rsidP="009C69C1">
      <w:pPr>
        <w:rPr>
          <w:rFonts w:eastAsiaTheme="minorEastAsia"/>
        </w:rPr>
      </w:pPr>
      <w:r>
        <w:rPr>
          <w:rFonts w:eastAsiaTheme="minorEastAsia"/>
        </w:rPr>
        <w:t xml:space="preserve">Other tests </w:t>
      </w:r>
    </w:p>
    <w:p w:rsidR="0076472F" w:rsidRPr="0076472F" w:rsidRDefault="0076472F" w:rsidP="0076472F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76472F">
        <w:rPr>
          <w:rFonts w:eastAsiaTheme="minorEastAsia"/>
        </w:rPr>
        <w:t>Variance test</w:t>
      </w:r>
    </w:p>
    <w:p w:rsidR="0076472F" w:rsidRPr="0076472F" w:rsidRDefault="0076472F" w:rsidP="0076472F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76472F">
        <w:rPr>
          <w:rFonts w:eastAsiaTheme="minorEastAsia"/>
        </w:rPr>
        <w:t xml:space="preserve">Shapiro </w:t>
      </w:r>
      <w:proofErr w:type="spellStart"/>
      <w:r w:rsidRPr="0076472F">
        <w:rPr>
          <w:rFonts w:eastAsiaTheme="minorEastAsia"/>
        </w:rPr>
        <w:t>Wilk</w:t>
      </w:r>
      <w:proofErr w:type="spellEnd"/>
      <w:r w:rsidRPr="0076472F">
        <w:rPr>
          <w:rFonts w:eastAsiaTheme="minorEastAsia"/>
        </w:rPr>
        <w:t xml:space="preserve"> Test</w:t>
      </w:r>
    </w:p>
    <w:p w:rsidR="0076472F" w:rsidRDefault="0076472F" w:rsidP="009C69C1">
      <w:pPr>
        <w:rPr>
          <w:rFonts w:eastAsiaTheme="minorEastAsia"/>
        </w:rPr>
      </w:pPr>
    </w:p>
    <w:p w:rsidR="00D739F9" w:rsidRDefault="00D739F9" w:rsidP="009C69C1">
      <w:pPr>
        <w:rPr>
          <w:rFonts w:eastAsiaTheme="minorEastAsia"/>
        </w:rPr>
      </w:pPr>
      <w:r>
        <w:rPr>
          <w:rFonts w:eastAsiaTheme="minorEastAsia"/>
        </w:rPr>
        <w:t>Additional Considerations</w:t>
      </w:r>
    </w:p>
    <w:p w:rsidR="00D739F9" w:rsidRDefault="00D739F9" w:rsidP="00D739F9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Is the test one tailed or two tailed? (</w:t>
      </w:r>
      <w:proofErr w:type="gramStart"/>
      <w:r>
        <w:rPr>
          <w:rFonts w:eastAsiaTheme="minorEastAsia"/>
        </w:rPr>
        <w:t>i.e</w:t>
      </w:r>
      <w:proofErr w:type="gramEnd"/>
      <w:r>
        <w:rPr>
          <w:rFonts w:eastAsiaTheme="minorEastAsia"/>
        </w:rPr>
        <w:t>. k=1 or 2?)</w:t>
      </w:r>
    </w:p>
    <w:p w:rsidR="00D739F9" w:rsidRDefault="00D739F9" w:rsidP="00D739F9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It will usually be two tailed. (Confidence Intervals are always two tailed)</w:t>
      </w:r>
    </w:p>
    <w:p w:rsidR="00D739F9" w:rsidRDefault="00D739F9" w:rsidP="00D739F9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Is the </w:t>
      </w:r>
      <w:proofErr w:type="spellStart"/>
      <w:r>
        <w:rPr>
          <w:rFonts w:eastAsiaTheme="minorEastAsia"/>
        </w:rPr>
        <w:t>aggregrate</w:t>
      </w:r>
      <w:proofErr w:type="spellEnd"/>
      <w:r>
        <w:rPr>
          <w:rFonts w:eastAsiaTheme="minorEastAsia"/>
        </w:rPr>
        <w:t xml:space="preserve"> sample size large or small?  A large sample is composed of thirty or more observations.</w:t>
      </w:r>
    </w:p>
    <w:p w:rsidR="00D739F9" w:rsidRDefault="00D739F9" w:rsidP="00D739F9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|If the sample is small use the student t distribution , specifying the degrees of freedom</w:t>
      </w:r>
    </w:p>
    <w:p w:rsidR="00CD2CE5" w:rsidRDefault="00D739F9" w:rsidP="009C69C1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CD2CE5">
        <w:rPr>
          <w:rFonts w:eastAsiaTheme="minorEastAsia"/>
        </w:rPr>
        <w:t>If the sample is large – use the Z distribution (</w:t>
      </w:r>
      <w:proofErr w:type="spellStart"/>
      <w:r w:rsidRPr="00CD2CE5">
        <w:rPr>
          <w:rFonts w:eastAsiaTheme="minorEastAsia"/>
        </w:rPr>
        <w:t>qnorm</w:t>
      </w:r>
      <w:proofErr w:type="spellEnd"/>
      <w:r w:rsidRPr="00CD2CE5">
        <w:rPr>
          <w:rFonts w:eastAsiaTheme="minorEastAsia"/>
        </w:rPr>
        <w:t>())(</w:t>
      </w:r>
      <w:proofErr w:type="spellStart"/>
      <w:r w:rsidRPr="00CD2CE5">
        <w:rPr>
          <w:rFonts w:eastAsiaTheme="minorEastAsia"/>
        </w:rPr>
        <w:t>qt</w:t>
      </w:r>
      <w:proofErr w:type="spellEnd"/>
      <w:r w:rsidRPr="00CD2CE5">
        <w:rPr>
          <w:rFonts w:eastAsiaTheme="minorEastAsia"/>
        </w:rPr>
        <w:t>())</w:t>
      </w:r>
    </w:p>
    <w:p w:rsidR="00CD2CE5" w:rsidRDefault="00CD2CE5" w:rsidP="009C69C1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If the procedure is two tailed, the values can be re-</w:t>
      </w:r>
      <w:proofErr w:type="spellStart"/>
      <w:r>
        <w:rPr>
          <w:rFonts w:eastAsiaTheme="minorEastAsia"/>
        </w:rPr>
        <w:t>aranged</w:t>
      </w:r>
      <w:proofErr w:type="spellEnd"/>
      <w:r>
        <w:rPr>
          <w:rFonts w:eastAsiaTheme="minorEastAsia"/>
        </w:rPr>
        <w:t xml:space="preserve"> to compute the confidence interval.</w:t>
      </w:r>
    </w:p>
    <w:p w:rsidR="00D739F9" w:rsidRPr="00CD2CE5" w:rsidRDefault="00EA7FAF" w:rsidP="00CD2CE5">
      <w:pPr>
        <w:ind w:left="360"/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rad>
      </m:oMath>
      <w:r w:rsidRPr="00CD2CE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w:br/>
        </m:r>
      </m:oMath>
    </w:p>
    <w:p w:rsidR="009C69C1" w:rsidRDefault="009C69C1" w:rsidP="009C69C1">
      <w:pPr>
        <w:rPr>
          <w:rFonts w:eastAsiaTheme="minorEastAsia"/>
        </w:rPr>
      </w:pPr>
      <w:r>
        <w:rPr>
          <w:rFonts w:eastAsiaTheme="minorEastAsia"/>
        </w:rPr>
        <w:t xml:space="preserve">Computing the pooled </w:t>
      </w:r>
      <w:proofErr w:type="gramStart"/>
      <w:r>
        <w:rPr>
          <w:rFonts w:eastAsiaTheme="minorEastAsia"/>
        </w:rPr>
        <w:t>variance  (</w:t>
      </w:r>
      <w:proofErr w:type="gramEnd"/>
      <w:r>
        <w:rPr>
          <w:rFonts w:eastAsiaTheme="minorEastAsia"/>
        </w:rPr>
        <w:t>from formulae)</w:t>
      </w:r>
    </w:p>
    <w:p w:rsidR="009C69C1" w:rsidRDefault="009C69C1" w:rsidP="00FE3C3A">
      <w:pPr>
        <w:rPr>
          <w:rFonts w:eastAsiaTheme="minorEastAsia"/>
        </w:rPr>
      </w:pPr>
    </w:p>
    <w:p w:rsidR="00EA7FAF" w:rsidRPr="00EA7FAF" w:rsidRDefault="00EA7FAF" w:rsidP="00FE3C3A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:rsidR="00EA7FAF" w:rsidRDefault="009C69C1" w:rsidP="00FE3C3A">
      <w:pPr>
        <w:rPr>
          <w:rFonts w:eastAsiaTheme="minorEastAsia"/>
        </w:rPr>
      </w:pPr>
      <w:r>
        <w:rPr>
          <w:rFonts w:eastAsiaTheme="minorEastAsia"/>
        </w:rPr>
        <w:t xml:space="preserve">Computing the pooled </w:t>
      </w:r>
      <w:proofErr w:type="gramStart"/>
      <w:r>
        <w:rPr>
          <w:rFonts w:eastAsiaTheme="minorEastAsia"/>
        </w:rPr>
        <w:t>variance  (</w:t>
      </w:r>
      <w:proofErr w:type="gramEnd"/>
      <w:r>
        <w:rPr>
          <w:rFonts w:eastAsiaTheme="minorEastAsia"/>
        </w:rPr>
        <w:t>from formulae)</w:t>
      </w:r>
    </w:p>
    <w:p w:rsidR="00EA7FAF" w:rsidRPr="009C69C1" w:rsidRDefault="009C69C1" w:rsidP="00FE3C3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1)s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-1)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den>
              </m:f>
            </m:e>
          </m:rad>
        </m:oMath>
      </m:oMathPara>
    </w:p>
    <w:p w:rsidR="009C69C1" w:rsidRPr="00EA7FAF" w:rsidRDefault="009C69C1" w:rsidP="009C69C1">
      <w:pPr>
        <w:rPr>
          <w:rFonts w:eastAsiaTheme="minorEastAsia"/>
        </w:rPr>
      </w:pPr>
      <m:oMathPara>
        <m:oMath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:rsidR="00D739F9" w:rsidRPr="00FE3C3A" w:rsidRDefault="00D739F9" w:rsidP="00D739F9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:  </m:t>
              </m:r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739F9" w:rsidRPr="00F00567" w:rsidRDefault="00D739F9" w:rsidP="00D739F9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≠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739F9" w:rsidRDefault="00D739F9" w:rsidP="00FE3C3A">
      <w:pPr>
        <w:rPr>
          <w:rFonts w:eastAsiaTheme="minorEastAsia"/>
        </w:rPr>
      </w:pPr>
    </w:p>
    <w:p w:rsidR="009C69C1" w:rsidRDefault="009C69C1" w:rsidP="00FE3C3A">
      <w:pPr>
        <w:rPr>
          <w:rFonts w:eastAsiaTheme="minorEastAsia"/>
        </w:rPr>
      </w:pPr>
      <w:r>
        <w:rPr>
          <w:rFonts w:eastAsiaTheme="minorEastAsia"/>
        </w:rPr>
        <w:t>The null hypothesis and alternative hypothesis can be expressed as follows:</w:t>
      </w:r>
    </w:p>
    <w:p w:rsidR="009C69C1" w:rsidRPr="00FE3C3A" w:rsidRDefault="009C69C1" w:rsidP="009C69C1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:  </m:t>
              </m:r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9C69C1" w:rsidRPr="00F00567" w:rsidRDefault="00F00567" w:rsidP="009C69C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00567" w:rsidRPr="00F00567" w:rsidRDefault="00F00567" w:rsidP="00F00567">
      <w:pPr>
        <w:rPr>
          <w:rFonts w:eastAsiaTheme="minorEastAsia"/>
        </w:rPr>
      </w:pPr>
      <w:r>
        <w:rPr>
          <w:rFonts w:eastAsiaTheme="minorEastAsia"/>
        </w:rPr>
        <w:t>An alternati</w:t>
      </w:r>
      <w:r w:rsidR="00D739F9">
        <w:rPr>
          <w:rFonts w:eastAsiaTheme="minorEastAsia"/>
        </w:rPr>
        <w:t>v</w:t>
      </w:r>
      <w:r>
        <w:rPr>
          <w:rFonts w:eastAsiaTheme="minorEastAsia"/>
        </w:rPr>
        <w:t xml:space="preserve">e </w:t>
      </w:r>
      <w:proofErr w:type="spellStart"/>
      <w:r>
        <w:rPr>
          <w:rFonts w:eastAsiaTheme="minorEastAsia"/>
        </w:rPr>
        <w:t>specificication</w:t>
      </w:r>
      <w:proofErr w:type="spellEnd"/>
      <w:r>
        <w:rPr>
          <w:rFonts w:eastAsiaTheme="minorEastAsia"/>
        </w:rPr>
        <w:t xml:space="preserve"> of the null and </w:t>
      </w:r>
      <w:proofErr w:type="spellStart"/>
      <w:r>
        <w:rPr>
          <w:rFonts w:eastAsiaTheme="minorEastAsia"/>
        </w:rPr>
        <w:t>laternative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hypothesis ,</w:t>
      </w:r>
      <w:proofErr w:type="gramEnd"/>
      <w:r>
        <w:rPr>
          <w:rFonts w:eastAsiaTheme="minorEastAsia"/>
        </w:rPr>
        <w:t xml:space="preserve"> which states the expected </w:t>
      </w:r>
      <w:proofErr w:type="spellStart"/>
      <w:r>
        <w:rPr>
          <w:rFonts w:eastAsiaTheme="minorEastAsia"/>
        </w:rPr>
        <w:t>alue</w:t>
      </w:r>
      <w:proofErr w:type="spellEnd"/>
      <w:r>
        <w:rPr>
          <w:rFonts w:eastAsiaTheme="minorEastAsia"/>
        </w:rPr>
        <w:t xml:space="preserve"> under the null hypothesis is as follows</w:t>
      </w:r>
    </w:p>
    <w:p w:rsidR="00F00567" w:rsidRPr="00FE3C3A" w:rsidRDefault="00F00567" w:rsidP="00F00567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 :  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 xml:space="preserve"> 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592625" w:rsidRDefault="00F00567" w:rsidP="0059262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592625" w:rsidRPr="00592625" w:rsidRDefault="00592625" w:rsidP="00592625">
      <w:pPr>
        <w:rPr>
          <w:rFonts w:eastAsiaTheme="minorEastAsia"/>
          <w:b/>
          <w:u w:val="single"/>
        </w:rPr>
      </w:pPr>
      <w:r w:rsidRPr="00592625">
        <w:rPr>
          <w:rFonts w:eastAsiaTheme="minorEastAsia"/>
          <w:b/>
          <w:u w:val="single"/>
        </w:rPr>
        <w:t>The Shapiro-</w:t>
      </w:r>
      <w:proofErr w:type="spellStart"/>
      <w:r w:rsidRPr="00592625">
        <w:rPr>
          <w:rFonts w:eastAsiaTheme="minorEastAsia"/>
          <w:b/>
          <w:u w:val="single"/>
        </w:rPr>
        <w:t>Wilk</w:t>
      </w:r>
      <w:proofErr w:type="spellEnd"/>
      <w:r w:rsidRPr="00592625">
        <w:rPr>
          <w:rFonts w:eastAsiaTheme="minorEastAsia"/>
          <w:b/>
          <w:u w:val="single"/>
        </w:rPr>
        <w:t xml:space="preserve"> Test</w:t>
      </w:r>
    </w:p>
    <w:p w:rsidR="009C69C1" w:rsidRDefault="000660E3" w:rsidP="00FE3C3A">
      <w:pPr>
        <w:rPr>
          <w:rFonts w:eastAsiaTheme="minorEastAsia"/>
        </w:rPr>
      </w:pPr>
      <w:r>
        <w:rPr>
          <w:rFonts w:eastAsiaTheme="minorEastAsia"/>
        </w:rPr>
        <w:t>The Shapiro</w:t>
      </w:r>
      <w:r w:rsidR="00592625">
        <w:rPr>
          <w:rFonts w:eastAsiaTheme="minorEastAsia"/>
        </w:rPr>
        <w:t>-</w:t>
      </w:r>
      <w:proofErr w:type="spellStart"/>
      <w:r>
        <w:rPr>
          <w:rFonts w:eastAsiaTheme="minorEastAsia"/>
        </w:rPr>
        <w:t>Wilk</w:t>
      </w:r>
      <w:proofErr w:type="spellEnd"/>
      <w:r>
        <w:rPr>
          <w:rFonts w:eastAsiaTheme="minorEastAsia"/>
        </w:rPr>
        <w:t xml:space="preserve"> Test is a formal hypothesis test for testing normality.</w:t>
      </w:r>
    </w:p>
    <w:p w:rsidR="00592625" w:rsidRDefault="00592625" w:rsidP="0059262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: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The data set is normally distributed</w:t>
      </w:r>
    </w:p>
    <w:p w:rsidR="000660E3" w:rsidRDefault="00592625" w:rsidP="00FE3C3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</m:t>
        </m:r>
      </m:oMath>
      <w:r w:rsidR="000660E3">
        <w:rPr>
          <w:rFonts w:eastAsiaTheme="minorEastAsia"/>
        </w:rPr>
        <w:t>The data set is not normally distributed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92625" w:rsidTr="00592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92625" w:rsidRDefault="00592625" w:rsidP="00FE3C3A"/>
        </w:tc>
      </w:tr>
    </w:tbl>
    <w:p w:rsidR="00592625" w:rsidRDefault="00592625" w:rsidP="00FE3C3A"/>
    <w:p w:rsidR="00592625" w:rsidRPr="00592625" w:rsidRDefault="00592625" w:rsidP="00592625">
      <w:pPr>
        <w:rPr>
          <w:b/>
          <w:u w:val="single"/>
        </w:rPr>
      </w:pPr>
      <w:r w:rsidRPr="00592625">
        <w:rPr>
          <w:b/>
          <w:u w:val="single"/>
        </w:rPr>
        <w:t xml:space="preserve">Variance Testing </w:t>
      </w:r>
    </w:p>
    <w:p w:rsidR="00592625" w:rsidRDefault="00592625" w:rsidP="00592625">
      <w:r>
        <w:t>The students are given the R code indicating the standard deviations for both data sets</w:t>
      </w:r>
      <w:r w:rsidR="0056639E">
        <w:t>.</w:t>
      </w:r>
    </w:p>
    <w:p w:rsidR="0056639E" w:rsidRDefault="0056639E" w:rsidP="00592625"/>
    <w:p w:rsidR="0056639E" w:rsidRDefault="0056639E" w:rsidP="00592625">
      <w:r>
        <w:t xml:space="preserve">The null and alternative hypothesis can be formally specified in either </w:t>
      </w:r>
      <w:proofErr w:type="spellStart"/>
      <w:r>
        <w:t>tof</w:t>
      </w:r>
      <w:proofErr w:type="spellEnd"/>
      <w:r>
        <w:t xml:space="preserve"> the two following ways. The second way considers the problem in the context of variance ratio. If the variance e ratio is 1, then the variance s </w:t>
      </w:r>
      <w:proofErr w:type="gramStart"/>
      <w:r>
        <w:t>are</w:t>
      </w:r>
      <w:proofErr w:type="gramEnd"/>
      <w:r>
        <w:t xml:space="preserve"> equal.</w:t>
      </w:r>
    </w:p>
    <w:p w:rsidR="0056639E" w:rsidRDefault="0056639E" w:rsidP="00592625">
      <w:r>
        <w:t>This approach is more consistent with the required computation.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92625" w:rsidTr="00592625">
        <w:tc>
          <w:tcPr>
            <w:tcW w:w="4621" w:type="dxa"/>
          </w:tcPr>
          <w:p w:rsidR="00592625" w:rsidRPr="00BF3DB1" w:rsidRDefault="00592625" w:rsidP="00592625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: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=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  <w:p w:rsidR="00BF3DB1" w:rsidRPr="00FE3C3A" w:rsidRDefault="00BF3DB1" w:rsidP="00592625">
            <w:pPr>
              <w:jc w:val="center"/>
            </w:pPr>
          </w:p>
          <w:p w:rsidR="00592625" w:rsidRPr="00592625" w:rsidRDefault="00592625" w:rsidP="00592625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: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≠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  <w:p w:rsidR="00592625" w:rsidRDefault="00592625" w:rsidP="00592625"/>
        </w:tc>
        <w:tc>
          <w:tcPr>
            <w:tcW w:w="4621" w:type="dxa"/>
          </w:tcPr>
          <w:p w:rsidR="00592625" w:rsidRPr="00592625" w:rsidRDefault="00592625" w:rsidP="00592625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: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592625" w:rsidRPr="00592625" w:rsidRDefault="00592625" w:rsidP="0059262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>:</w:t>
            </w:r>
            <w:r w:rsidR="0076472F">
              <w:rPr>
                <w:rFonts w:eastAsiaTheme="minorEastAsia"/>
              </w:rPr>
              <w:t xml:space="preserve">  </w:t>
            </w:r>
            <w:r>
              <w:rPr>
                <w:rFonts w:eastAsiaTheme="minorEastAsia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≠1</m:t>
              </m:r>
            </m:oMath>
          </w:p>
          <w:p w:rsidR="00592625" w:rsidRDefault="00592625" w:rsidP="00592625"/>
        </w:tc>
      </w:tr>
    </w:tbl>
    <w:p w:rsidR="00592625" w:rsidRDefault="00592625" w:rsidP="00592625"/>
    <w:p w:rsidR="00592625" w:rsidRDefault="00592625" w:rsidP="00592625"/>
    <w:p w:rsidR="00592625" w:rsidRDefault="00592625" w:rsidP="00592625">
      <w:pPr>
        <w:rPr>
          <w:rFonts w:eastAsiaTheme="minorEastAsia"/>
        </w:rPr>
      </w:pPr>
      <w:r>
        <w:t>Computing the test statistic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 xml:space="preserve"> </m:t>
        </m:r>
      </m:oMath>
    </w:p>
    <w:p w:rsidR="00592625" w:rsidRDefault="0056639E" w:rsidP="00FE3C3A">
      <w:r>
        <w:t>The p-value will be provided in the R code output. Students are required to state a conclusion based on this p-value</w:t>
      </w:r>
    </w:p>
    <w:p w:rsidR="0076472F" w:rsidRPr="00FE3C3A" w:rsidRDefault="0076472F" w:rsidP="00FE3C3A"/>
    <w:sectPr w:rsidR="0076472F" w:rsidRPr="00FE3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3683"/>
    <w:multiLevelType w:val="hybridMultilevel"/>
    <w:tmpl w:val="EE8896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149F8"/>
    <w:multiLevelType w:val="hybridMultilevel"/>
    <w:tmpl w:val="F82A0A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75BA2"/>
    <w:multiLevelType w:val="hybridMultilevel"/>
    <w:tmpl w:val="3BDE47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017D2"/>
    <w:multiLevelType w:val="hybridMultilevel"/>
    <w:tmpl w:val="0172ED0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908F9"/>
    <w:multiLevelType w:val="hybridMultilevel"/>
    <w:tmpl w:val="2A320FD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B70743"/>
    <w:multiLevelType w:val="hybridMultilevel"/>
    <w:tmpl w:val="66C290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17F"/>
    <w:rsid w:val="000660E3"/>
    <w:rsid w:val="002F417F"/>
    <w:rsid w:val="003567DD"/>
    <w:rsid w:val="0052366E"/>
    <w:rsid w:val="0056639E"/>
    <w:rsid w:val="00592625"/>
    <w:rsid w:val="0076472F"/>
    <w:rsid w:val="00811413"/>
    <w:rsid w:val="008B0134"/>
    <w:rsid w:val="009C69C1"/>
    <w:rsid w:val="00BB2C32"/>
    <w:rsid w:val="00BF3DB1"/>
    <w:rsid w:val="00CD2CE5"/>
    <w:rsid w:val="00D739F9"/>
    <w:rsid w:val="00EA7FAF"/>
    <w:rsid w:val="00F00567"/>
    <w:rsid w:val="00F64720"/>
    <w:rsid w:val="00FE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01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color w:val="000080"/>
      <w:kern w:val="36"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17F"/>
    <w:rPr>
      <w:rFonts w:ascii="Verdana" w:hAnsi="Verdana" w:hint="default"/>
      <w:b/>
      <w:bCs/>
      <w:strike w:val="0"/>
      <w:dstrike w:val="0"/>
      <w:color w:val="333399"/>
      <w:sz w:val="18"/>
      <w:szCs w:val="18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2F417F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8"/>
      <w:szCs w:val="18"/>
      <w:lang w:eastAsia="en-IE"/>
    </w:rPr>
  </w:style>
  <w:style w:type="character" w:styleId="Strong">
    <w:name w:val="Strong"/>
    <w:basedOn w:val="DefaultParagraphFont"/>
    <w:uiPriority w:val="22"/>
    <w:qFormat/>
    <w:rsid w:val="002F417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1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01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0134"/>
    <w:rPr>
      <w:rFonts w:ascii="Times New Roman" w:eastAsia="Times New Roman" w:hAnsi="Times New Roman" w:cs="Times New Roman"/>
      <w:color w:val="000080"/>
      <w:kern w:val="36"/>
      <w:sz w:val="36"/>
      <w:szCs w:val="36"/>
      <w:lang w:eastAsia="en-IE"/>
    </w:rPr>
  </w:style>
  <w:style w:type="character" w:styleId="PlaceholderText">
    <w:name w:val="Placeholder Text"/>
    <w:basedOn w:val="DefaultParagraphFont"/>
    <w:uiPriority w:val="99"/>
    <w:semiHidden/>
    <w:rsid w:val="00EA7FAF"/>
    <w:rPr>
      <w:color w:val="808080"/>
    </w:rPr>
  </w:style>
  <w:style w:type="table" w:styleId="TableGrid">
    <w:name w:val="Table Grid"/>
    <w:basedOn w:val="TableNormal"/>
    <w:uiPriority w:val="59"/>
    <w:rsid w:val="00D739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5926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01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color w:val="000080"/>
      <w:kern w:val="36"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417F"/>
    <w:rPr>
      <w:rFonts w:ascii="Verdana" w:hAnsi="Verdana" w:hint="default"/>
      <w:b/>
      <w:bCs/>
      <w:strike w:val="0"/>
      <w:dstrike w:val="0"/>
      <w:color w:val="333399"/>
      <w:sz w:val="18"/>
      <w:szCs w:val="18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2F417F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8"/>
      <w:szCs w:val="18"/>
      <w:lang w:eastAsia="en-IE"/>
    </w:rPr>
  </w:style>
  <w:style w:type="character" w:styleId="Strong">
    <w:name w:val="Strong"/>
    <w:basedOn w:val="DefaultParagraphFont"/>
    <w:uiPriority w:val="22"/>
    <w:qFormat/>
    <w:rsid w:val="002F417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1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01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0134"/>
    <w:rPr>
      <w:rFonts w:ascii="Times New Roman" w:eastAsia="Times New Roman" w:hAnsi="Times New Roman" w:cs="Times New Roman"/>
      <w:color w:val="000080"/>
      <w:kern w:val="36"/>
      <w:sz w:val="36"/>
      <w:szCs w:val="36"/>
      <w:lang w:eastAsia="en-IE"/>
    </w:rPr>
  </w:style>
  <w:style w:type="character" w:styleId="PlaceholderText">
    <w:name w:val="Placeholder Text"/>
    <w:basedOn w:val="DefaultParagraphFont"/>
    <w:uiPriority w:val="99"/>
    <w:semiHidden/>
    <w:rsid w:val="00EA7FAF"/>
    <w:rPr>
      <w:color w:val="808080"/>
    </w:rPr>
  </w:style>
  <w:style w:type="table" w:styleId="TableGrid">
    <w:name w:val="Table Grid"/>
    <w:basedOn w:val="TableNormal"/>
    <w:uiPriority w:val="59"/>
    <w:rsid w:val="00D739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5926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1541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  <w:divsChild>
            <w:div w:id="1069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80808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1968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  <w:divsChild>
            <w:div w:id="1399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80808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71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1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92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9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1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1589">
          <w:marLeft w:val="0"/>
          <w:marRight w:val="0"/>
          <w:marTop w:val="0"/>
          <w:marBottom w:val="0"/>
          <w:divBdr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divBdr>
          <w:divsChild>
            <w:div w:id="18818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80808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6</cp:revision>
  <dcterms:created xsi:type="dcterms:W3CDTF">2012-11-04T10:55:00Z</dcterms:created>
  <dcterms:modified xsi:type="dcterms:W3CDTF">2012-11-07T13:37:00Z</dcterms:modified>
</cp:coreProperties>
</file>