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BC09A">
      <w:pPr>
        <w:pStyle w:val="3"/>
        <w:spacing w:after="180" w:line="312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36"/>
          <w:lang w:eastAsia="zh-CN"/>
        </w:rPr>
        <w:t>软件采购及实施服务合同</w:t>
      </w:r>
    </w:p>
    <w:p w14:paraId="31350370">
      <w:pPr>
        <w:spacing w:after="360"/>
        <w:jc w:val="center"/>
      </w:pPr>
      <w:r>
        <w:rPr>
          <w:rFonts w:hint="eastAsia" w:ascii="宋体" w:hAnsi="宋体" w:eastAsia="宋体" w:cs="宋体"/>
          <w:color w:val="6B7280"/>
          <w:sz w:val="18"/>
          <w:lang w:eastAsia="zh-CN"/>
        </w:rPr>
        <w:t>合同编号：</w:t>
      </w:r>
      <w:r>
        <w:rPr>
          <w:rFonts w:ascii="宋体" w:hAnsi="宋体"/>
          <w:color w:val="6B7280"/>
          <w:sz w:val="18"/>
        </w:rPr>
        <w:t>HYZN-CG-2026-0910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2860"/>
        <w:gridCol w:w="2860"/>
      </w:tblGrid>
      <w:tr w14:paraId="39426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51F1DDD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项目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D8CD9E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甲方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BCB52CC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乙方</w:t>
            </w:r>
          </w:p>
        </w:tc>
      </w:tr>
      <w:tr w14:paraId="636C4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EF88E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名称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50EEF5E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瀚元智能装备制造有限公司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8683C4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云枢软件技术（武汉）有限公司</w:t>
            </w:r>
          </w:p>
        </w:tc>
      </w:tr>
      <w:tr w14:paraId="14B5C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8C92DA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统一社会信用代码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04188AF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91430100MA4L8K7X2B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D61466E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91420100MA4K3T9Y6D</w:t>
            </w:r>
          </w:p>
        </w:tc>
      </w:tr>
      <w:tr w14:paraId="6A17F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5A3F502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法定代表人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8BB654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周秉坤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01319BE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邢志远</w:t>
            </w:r>
          </w:p>
        </w:tc>
      </w:tr>
      <w:tr w14:paraId="1C66E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2B8A8DB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地址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96AB172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湖南省长沙市岳麓区麓谷大道  998  号  A  座  12  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3F0583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湖北省武汉市东湖新技术开发区光谷大道  77  号软件园  B  栋  8  层</w:t>
            </w:r>
          </w:p>
        </w:tc>
      </w:tr>
      <w:tr w14:paraId="60050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BEC6F68">
            <w:pPr>
              <w:spacing w:before="62" w:after="62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联系方式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A19D40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李婷 0731-8888 6200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603A26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陈默 027-6666 3180</w:t>
            </w:r>
          </w:p>
        </w:tc>
      </w:tr>
    </w:tbl>
    <w:p w14:paraId="4231D3B1">
      <w:pPr>
        <w:spacing w:after="130"/>
        <w:jc w:val="left"/>
      </w:pPr>
      <w:r>
        <w:rPr>
          <w:rFonts w:hint="eastAsia" w:ascii="黑体" w:hAnsi="黑体" w:eastAsia="黑体"/>
          <w:b/>
          <w:color w:val="111827"/>
          <w:sz w:val="26"/>
        </w:rPr>
        <w:t>目录</w:t>
      </w:r>
    </w:p>
    <w:p w14:paraId="2BE9F4D7">
      <w:r>
        <w:fldChar w:fldCharType="begin"/>
      </w:r>
      <w:r>
        <w:instrText xml:space="preserve"> HYPERLINK \l "_Toc_section_1" \h </w:instrText>
      </w:r>
      <w:r>
        <w:fldChar w:fldCharType="separate"/>
      </w:r>
      <w:r>
        <w:rPr>
          <w:rFonts w:hint="eastAsia"/>
          <w:color w:val="000000"/>
          <w:u w:val="none"/>
        </w:rPr>
        <w:t>第一条合同标的与软件清单</w:t>
      </w:r>
      <w:r>
        <w:rPr>
          <w:rFonts w:hint="eastAsia"/>
          <w:color w:val="000000"/>
          <w:u w:val="none"/>
        </w:rPr>
        <w:fldChar w:fldCharType="end"/>
      </w:r>
    </w:p>
    <w:p w14:paraId="4BA5B89A">
      <w:r>
        <w:fldChar w:fldCharType="begin"/>
      </w:r>
      <w:r>
        <w:instrText xml:space="preserve"> HYPERLINK \l "_Toc_section_2" \h </w:instrText>
      </w:r>
      <w:r>
        <w:fldChar w:fldCharType="separate"/>
      </w:r>
      <w:r>
        <w:rPr>
          <w:rFonts w:hint="eastAsia"/>
          <w:color w:val="000000"/>
          <w:u w:val="none"/>
        </w:rPr>
        <w:t>第二条合同价款与支付</w:t>
      </w:r>
      <w:r>
        <w:rPr>
          <w:rFonts w:hint="eastAsia"/>
          <w:color w:val="000000"/>
          <w:u w:val="none"/>
        </w:rPr>
        <w:fldChar w:fldCharType="end"/>
      </w:r>
    </w:p>
    <w:p w14:paraId="2CE02581">
      <w:r>
        <w:fldChar w:fldCharType="begin"/>
      </w:r>
      <w:r>
        <w:instrText xml:space="preserve"> HYPERLINK \l "_Toc_section_3" \h </w:instrText>
      </w:r>
      <w:r>
        <w:fldChar w:fldCharType="separate"/>
      </w:r>
      <w:r>
        <w:rPr>
          <w:rFonts w:hint="eastAsia"/>
          <w:color w:val="000000"/>
          <w:u w:val="none"/>
        </w:rPr>
        <w:t>第三条交付、部署与履行期限</w:t>
      </w:r>
      <w:r>
        <w:rPr>
          <w:rFonts w:hint="eastAsia"/>
          <w:color w:val="000000"/>
          <w:u w:val="none"/>
        </w:rPr>
        <w:fldChar w:fldCharType="end"/>
      </w:r>
    </w:p>
    <w:p w14:paraId="263590B6">
      <w:r>
        <w:fldChar w:fldCharType="begin"/>
      </w:r>
      <w:r>
        <w:instrText xml:space="preserve"> HYPERLINK \l "_Toc_section_4" \h </w:instrText>
      </w:r>
      <w:r>
        <w:fldChar w:fldCharType="separate"/>
      </w:r>
      <w:r>
        <w:rPr>
          <w:rFonts w:hint="eastAsia"/>
          <w:color w:val="000000"/>
          <w:u w:val="none"/>
        </w:rPr>
        <w:t>第四条验收标准与方法</w:t>
      </w:r>
      <w:r>
        <w:rPr>
          <w:rFonts w:hint="eastAsia"/>
          <w:color w:val="000000"/>
          <w:u w:val="none"/>
        </w:rPr>
        <w:fldChar w:fldCharType="end"/>
      </w:r>
    </w:p>
    <w:p w14:paraId="57AAEE86">
      <w:r>
        <w:fldChar w:fldCharType="begin"/>
      </w:r>
      <w:r>
        <w:instrText xml:space="preserve"> HYPERLINK \l "_Toc_section_5" \h </w:instrText>
      </w:r>
      <w:r>
        <w:fldChar w:fldCharType="separate"/>
      </w:r>
      <w:r>
        <w:rPr>
          <w:rFonts w:hint="eastAsia"/>
          <w:color w:val="000000"/>
          <w:u w:val="none"/>
        </w:rPr>
        <w:t>第五条培训与技术支持</w:t>
      </w:r>
      <w:r>
        <w:rPr>
          <w:rFonts w:hint="eastAsia"/>
          <w:color w:val="000000"/>
          <w:u w:val="none"/>
        </w:rPr>
        <w:fldChar w:fldCharType="end"/>
      </w:r>
    </w:p>
    <w:p w14:paraId="75C32331">
      <w:r>
        <w:fldChar w:fldCharType="begin"/>
      </w:r>
      <w:r>
        <w:instrText xml:space="preserve"> HYPERLINK \l "_Toc_section_6" \h </w:instrText>
      </w:r>
      <w:r>
        <w:fldChar w:fldCharType="separate"/>
      </w:r>
      <w:r>
        <w:rPr>
          <w:rFonts w:hint="eastAsia"/>
          <w:color w:val="000000"/>
          <w:u w:val="none"/>
        </w:rPr>
        <w:t>第六条知识产权</w:t>
      </w:r>
      <w:r>
        <w:rPr>
          <w:rFonts w:hint="eastAsia"/>
          <w:color w:val="000000"/>
          <w:u w:val="none"/>
        </w:rPr>
        <w:fldChar w:fldCharType="end"/>
      </w:r>
    </w:p>
    <w:p w14:paraId="4571E67E">
      <w:r>
        <w:fldChar w:fldCharType="begin"/>
      </w:r>
      <w:r>
        <w:instrText xml:space="preserve"> HYPERLINK \l "_Toc_section_7" \h </w:instrText>
      </w:r>
      <w:r>
        <w:fldChar w:fldCharType="separate"/>
      </w:r>
      <w:r>
        <w:rPr>
          <w:rFonts w:hint="eastAsia"/>
          <w:color w:val="000000"/>
          <w:u w:val="none"/>
        </w:rPr>
        <w:t>第七条保密</w:t>
      </w:r>
      <w:r>
        <w:rPr>
          <w:rFonts w:hint="eastAsia"/>
          <w:color w:val="000000"/>
          <w:u w:val="none"/>
        </w:rPr>
        <w:fldChar w:fldCharType="end"/>
      </w:r>
    </w:p>
    <w:p w14:paraId="6A7B4D11">
      <w:r>
        <w:fldChar w:fldCharType="begin"/>
      </w:r>
      <w:r>
        <w:instrText xml:space="preserve"> HYPERLINK \l "_Toc_section_8" \h </w:instrText>
      </w:r>
      <w:r>
        <w:fldChar w:fldCharType="separate"/>
      </w:r>
      <w:r>
        <w:rPr>
          <w:rFonts w:hint="eastAsia"/>
          <w:color w:val="000000"/>
          <w:u w:val="none"/>
        </w:rPr>
        <w:t>第八条违约责任</w:t>
      </w:r>
      <w:r>
        <w:rPr>
          <w:rFonts w:hint="eastAsia"/>
          <w:color w:val="000000"/>
          <w:u w:val="none"/>
        </w:rPr>
        <w:fldChar w:fldCharType="end"/>
      </w:r>
    </w:p>
    <w:p w14:paraId="6B738822">
      <w:r>
        <w:fldChar w:fldCharType="begin"/>
      </w:r>
      <w:r>
        <w:instrText xml:space="preserve"> HYPERLINK \l "_Toc_section_9" \h </w:instrText>
      </w:r>
      <w:r>
        <w:fldChar w:fldCharType="separate"/>
      </w:r>
      <w:r>
        <w:rPr>
          <w:rFonts w:hint="eastAsia"/>
          <w:color w:val="000000"/>
          <w:u w:val="none"/>
        </w:rPr>
        <w:t>第九条不可抗力</w:t>
      </w:r>
      <w:r>
        <w:rPr>
          <w:rFonts w:hint="eastAsia"/>
          <w:color w:val="000000"/>
          <w:u w:val="none"/>
        </w:rPr>
        <w:fldChar w:fldCharType="end"/>
      </w:r>
    </w:p>
    <w:p w14:paraId="6259C6E6">
      <w:r>
        <w:fldChar w:fldCharType="begin"/>
      </w:r>
      <w:r>
        <w:instrText xml:space="preserve"> HYPERLINK \l "_Toc_section_10" \h </w:instrText>
      </w:r>
      <w:r>
        <w:fldChar w:fldCharType="separate"/>
      </w:r>
      <w:r>
        <w:rPr>
          <w:rFonts w:hint="eastAsia"/>
          <w:color w:val="000000"/>
          <w:u w:val="none"/>
        </w:rPr>
        <w:t>第十条争议解决</w:t>
      </w:r>
      <w:r>
        <w:rPr>
          <w:rFonts w:hint="eastAsia"/>
          <w:color w:val="000000"/>
          <w:u w:val="none"/>
        </w:rPr>
        <w:fldChar w:fldCharType="end"/>
      </w:r>
    </w:p>
    <w:p w14:paraId="2187AE5F">
      <w:r>
        <w:fldChar w:fldCharType="begin"/>
      </w:r>
      <w:r>
        <w:instrText xml:space="preserve"> HYPERLINK \l "_Toc_section_11" \h </w:instrText>
      </w:r>
      <w:r>
        <w:fldChar w:fldCharType="separate"/>
      </w:r>
      <w:r>
        <w:rPr>
          <w:rFonts w:hint="eastAsia"/>
          <w:color w:val="000000"/>
          <w:u w:val="none"/>
        </w:rPr>
        <w:t>第十一条合同的生效、变更与终止</w:t>
      </w:r>
      <w:r>
        <w:rPr>
          <w:rFonts w:hint="eastAsia"/>
          <w:color w:val="000000"/>
          <w:u w:val="none"/>
        </w:rPr>
        <w:fldChar w:fldCharType="end"/>
      </w:r>
    </w:p>
    <w:p w14:paraId="41CEDB23">
      <w:r>
        <w:fldChar w:fldCharType="begin"/>
      </w:r>
      <w:r>
        <w:instrText xml:space="preserve"> HYPERLINK \l "_Toc_section_12" \h </w:instrText>
      </w:r>
      <w:r>
        <w:fldChar w:fldCharType="separate"/>
      </w:r>
      <w:r>
        <w:rPr>
          <w:rFonts w:hint="eastAsia"/>
          <w:color w:val="000000"/>
          <w:u w:val="none"/>
        </w:rPr>
        <w:t>第十二条其他</w:t>
      </w:r>
      <w:r>
        <w:rPr>
          <w:rFonts w:hint="eastAsia"/>
          <w:color w:val="000000"/>
          <w:u w:val="none"/>
        </w:rPr>
        <w:fldChar w:fldCharType="end"/>
      </w:r>
    </w:p>
    <w:p w14:paraId="310637A2">
      <w:r>
        <w:fldChar w:fldCharType="begin"/>
      </w:r>
      <w:r>
        <w:instrText xml:space="preserve"> HYPERLINK \l "_Toc_section_13" \h </w:instrText>
      </w:r>
      <w:r>
        <w:fldChar w:fldCharType="separate"/>
      </w:r>
      <w:r>
        <w:rPr>
          <w:rFonts w:hint="eastAsia"/>
          <w:color w:val="000000"/>
          <w:u w:val="none"/>
        </w:rPr>
        <w:t>附件一软件产品与服务清单</w:t>
      </w:r>
      <w:r>
        <w:rPr>
          <w:rFonts w:hint="eastAsia"/>
          <w:color w:val="000000"/>
          <w:u w:val="none"/>
        </w:rPr>
        <w:fldChar w:fldCharType="end"/>
      </w:r>
    </w:p>
    <w:p w14:paraId="71A52D35">
      <w:r>
        <w:fldChar w:fldCharType="begin"/>
      </w:r>
      <w:r>
        <w:instrText xml:space="preserve"> HYPERLINK \l "_Toc_section_14" \h </w:instrText>
      </w:r>
      <w:r>
        <w:fldChar w:fldCharType="separate"/>
      </w:r>
      <w:r>
        <w:rPr>
          <w:rFonts w:hint="eastAsia"/>
          <w:color w:val="000000"/>
          <w:u w:val="none"/>
        </w:rPr>
        <w:t>附件二技术需求说明书</w:t>
      </w:r>
      <w:r>
        <w:rPr>
          <w:rFonts w:hint="eastAsia"/>
          <w:color w:val="000000"/>
          <w:u w:val="none"/>
        </w:rPr>
        <w:fldChar w:fldCharType="end"/>
      </w:r>
    </w:p>
    <w:p w14:paraId="0E4E6324">
      <w:pPr>
        <w:spacing w:after="110" w:line="408" w:lineRule="auto"/>
        <w:jc w:val="both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鉴于甲方拟采购乙方自主研发之智能制造执行系统（</w:t>
      </w:r>
      <w:r>
        <w:rPr>
          <w:rFonts w:ascii="宋体" w:hAnsi="宋体"/>
          <w:color w:val="111827"/>
          <w:sz w:val="22"/>
        </w:rPr>
        <w:t>MES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）软件产品，并由乙方提供相应的实施部署、培训与技术支持服务，双方根据《中华人民共和国民法典》及相关法律法规的规定，本着平等自愿、诚实信用的原则，经友好协商，就有关事宜达成如下协议：</w:t>
      </w:r>
    </w:p>
    <w:p w14:paraId="1B9F1EAD">
      <w:pPr>
        <w:pStyle w:val="4"/>
        <w:spacing w:before="600" w:after="150" w:line="312" w:lineRule="auto"/>
        <w:jc w:val="left"/>
      </w:pPr>
      <w:bookmarkStart w:id="0" w:name="section-1"/>
      <w:bookmarkEnd w:id="0"/>
      <w:bookmarkStart w:id="1" w:name="_Toc_section_1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第一条合同标的与软件清单</w:t>
      </w:r>
      <w:bookmarkEnd w:id="1"/>
    </w:p>
    <w:p w14:paraId="234301A4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乙方向甲方提供其自主研发的「云枢</w:t>
      </w:r>
      <w:r>
        <w:rPr>
          <w:rFonts w:ascii="宋体" w:hAnsi="宋体"/>
          <w:color w:val="111827"/>
          <w:sz w:val="22"/>
        </w:rPr>
        <w:t xml:space="preserve"> MES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智能制造执行系统</w:t>
      </w:r>
      <w:r>
        <w:rPr>
          <w:rFonts w:ascii="宋体" w:hAnsi="宋体"/>
          <w:color w:val="111827"/>
          <w:sz w:val="22"/>
        </w:rPr>
        <w:t xml:space="preserve"> V3.0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」软件产品的许可使用权及配套实施服务。具体软件模块、许可数量与单价详见本合同附件一《软件产品与服务清单》。</w:t>
      </w:r>
    </w:p>
    <w:p w14:paraId="025034AF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本合同项下软件许可为普通许可，许可用户数为</w:t>
      </w:r>
      <w:r>
        <w:rPr>
          <w:rFonts w:ascii="宋体" w:hAnsi="宋体"/>
          <w:color w:val="111827"/>
          <w:sz w:val="22"/>
        </w:rPr>
        <w:t xml:space="preserve"> 80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个并发用户，许可期限为永久，使用范围限于甲方及其长沙生产基地的内部生产管理用途。</w:t>
      </w:r>
    </w:p>
    <w:p w14:paraId="55A4CB67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附件一、附件二为本合同不可分割的组成部分，与本合同正文具有同等法律效力。附件与正文约定不一致的，以本合同正文为准。</w:t>
      </w:r>
    </w:p>
    <w:p w14:paraId="0A458258">
      <w:pPr>
        <w:pStyle w:val="4"/>
        <w:spacing w:before="600" w:after="150" w:line="312" w:lineRule="auto"/>
        <w:jc w:val="left"/>
      </w:pPr>
      <w:bookmarkStart w:id="2" w:name="section-2"/>
      <w:bookmarkEnd w:id="2"/>
      <w:bookmarkStart w:id="3" w:name="_Toc_section_2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第二条合同价款与支付</w:t>
      </w:r>
      <w:bookmarkEnd w:id="3"/>
    </w:p>
    <w:p w14:paraId="371FF486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2.1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本合同总价款为人民币壹佰贰拾捌万陆仟元整（小写：</w:t>
      </w:r>
      <w:r>
        <w:rPr>
          <w:rFonts w:ascii="宋体" w:hAnsi="宋体"/>
          <w:color w:val="111827"/>
          <w:sz w:val="22"/>
        </w:rPr>
        <w:t xml:space="preserve">¥1,268,000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元）。该价款为固定总价，包含软件许可费、实施部署费、培训费及首年技术支持服务费，已包含各项税费。</w:t>
      </w:r>
    </w:p>
    <w:p w14:paraId="4C565913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2.2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合同价款构成如下：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709"/>
        <w:gridCol w:w="1706"/>
        <w:gridCol w:w="1714"/>
        <w:gridCol w:w="1717"/>
      </w:tblGrid>
      <w:tr w14:paraId="783F2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49DAAD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序号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CE9E950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项目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A557B5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数量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389E6C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单价（元）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CBEDB93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金额（元）</w:t>
            </w:r>
          </w:p>
        </w:tc>
      </w:tr>
      <w:tr w14:paraId="166FE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D7A6A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F9E6B7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云枢  MES V3.0  软件许可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527B3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80  用户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294D72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12,000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61725F5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960,000</w:t>
            </w:r>
          </w:p>
        </w:tc>
      </w:tr>
      <w:tr w14:paraId="04F07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18D76D3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CD5510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实施部署与数据初始化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29C2A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  项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22578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180,000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2E2188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180,000</w:t>
            </w:r>
          </w:p>
        </w:tc>
      </w:tr>
      <w:tr w14:paraId="13A17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6ECDC5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960D24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操作培训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46FFF19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4  场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68361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12,000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57098B2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48,000</w:t>
            </w:r>
          </w:p>
        </w:tc>
      </w:tr>
      <w:tr w14:paraId="2E323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964D167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C1AA73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首年技术支持服务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E300B6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  项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EF7BF1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98,000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F4F0B81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98,000</w:t>
            </w:r>
          </w:p>
        </w:tc>
      </w:tr>
      <w:tr w14:paraId="74B19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7EC6824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A40CB3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合计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CB12F43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8C86F8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95EF1C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b/>
                <w:color w:val="111827"/>
                <w:sz w:val="18"/>
              </w:rPr>
              <w:t>1,286,000</w:t>
            </w:r>
          </w:p>
        </w:tc>
      </w:tr>
    </w:tbl>
    <w:p w14:paraId="7C0C1282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2.3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价款支付方式：</w:t>
      </w:r>
    </w:p>
    <w:p w14:paraId="2D0C768B">
      <w:pPr>
        <w:spacing w:after="110" w:line="408" w:lineRule="auto"/>
        <w:jc w:val="both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（一）本合同签订后</w:t>
      </w:r>
      <w:r>
        <w:rPr>
          <w:rFonts w:ascii="宋体" w:hAnsi="宋体"/>
          <w:color w:val="111827"/>
          <w:sz w:val="22"/>
        </w:rPr>
        <w:t xml:space="preserve"> 7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个工作日内，甲方向乙方支付合同总价款的</w:t>
      </w:r>
      <w:r>
        <w:rPr>
          <w:rFonts w:ascii="宋体" w:hAnsi="宋体"/>
          <w:color w:val="111827"/>
          <w:sz w:val="22"/>
        </w:rPr>
        <w:t xml:space="preserve"> 50%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，即人民币</w:t>
      </w:r>
      <w:r>
        <w:rPr>
          <w:rFonts w:ascii="宋体" w:hAnsi="宋体"/>
          <w:color w:val="111827"/>
          <w:sz w:val="22"/>
        </w:rPr>
        <w:t xml:space="preserve"> 634,000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元；</w:t>
      </w:r>
    </w:p>
    <w:p w14:paraId="29408AAF">
      <w:pPr>
        <w:spacing w:after="110" w:line="408" w:lineRule="auto"/>
        <w:jc w:val="both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（二）软件安装部署完成并经甲方初验合格后</w:t>
      </w:r>
      <w:r>
        <w:rPr>
          <w:rFonts w:ascii="宋体" w:hAnsi="宋体"/>
          <w:color w:val="111827"/>
          <w:sz w:val="22"/>
        </w:rPr>
        <w:t xml:space="preserve"> 7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个工作日内，甲方向乙方支付合同总价款的</w:t>
      </w:r>
      <w:r>
        <w:rPr>
          <w:rFonts w:ascii="宋体" w:hAnsi="宋体"/>
          <w:color w:val="111827"/>
          <w:sz w:val="22"/>
        </w:rPr>
        <w:t xml:space="preserve"> 40%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，即人民币</w:t>
      </w:r>
      <w:r>
        <w:rPr>
          <w:rFonts w:ascii="宋体" w:hAnsi="宋体"/>
          <w:color w:val="111827"/>
          <w:sz w:val="22"/>
        </w:rPr>
        <w:t xml:space="preserve"> 507,200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元；</w:t>
      </w:r>
    </w:p>
    <w:p w14:paraId="72BD1EF9">
      <w:pPr>
        <w:spacing w:after="110" w:line="408" w:lineRule="auto"/>
        <w:jc w:val="both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（三）系统终验合格后</w:t>
      </w:r>
      <w:r>
        <w:rPr>
          <w:rFonts w:ascii="宋体" w:hAnsi="宋体"/>
          <w:color w:val="111827"/>
          <w:sz w:val="22"/>
        </w:rPr>
        <w:t xml:space="preserve"> 7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个工作日内，甲方向乙方支付合同总价款的</w:t>
      </w:r>
      <w:r>
        <w:rPr>
          <w:rFonts w:ascii="宋体" w:hAnsi="宋体"/>
          <w:color w:val="111827"/>
          <w:sz w:val="22"/>
        </w:rPr>
        <w:t xml:space="preserve"> 15%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，即人民币</w:t>
      </w:r>
      <w:r>
        <w:rPr>
          <w:rFonts w:ascii="宋体" w:hAnsi="宋体"/>
          <w:color w:val="111827"/>
          <w:sz w:val="22"/>
        </w:rPr>
        <w:t xml:space="preserve"> 190,200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元。</w:t>
      </w:r>
    </w:p>
    <w:p w14:paraId="42E54535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2.4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乙方应在每次收款前向甲方开具税率为</w:t>
      </w:r>
      <w:r>
        <w:rPr>
          <w:rFonts w:ascii="宋体" w:hAnsi="宋体"/>
          <w:color w:val="111827"/>
          <w:sz w:val="22"/>
        </w:rPr>
        <w:t xml:space="preserve"> 6%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的增值税专用发票。乙方未提供合规发票的，甲方有权暂缓支付相应款项。</w:t>
      </w:r>
    </w:p>
    <w:p w14:paraId="1903E40E">
      <w:pPr>
        <w:pStyle w:val="4"/>
        <w:spacing w:before="600" w:after="150" w:line="312" w:lineRule="auto"/>
        <w:jc w:val="left"/>
      </w:pPr>
      <w:bookmarkStart w:id="4" w:name="section-3"/>
      <w:bookmarkEnd w:id="4"/>
      <w:bookmarkStart w:id="5" w:name="_Toc_section_3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第三条交付、部署与履行期限</w:t>
      </w:r>
      <w:bookmarkEnd w:id="5"/>
    </w:p>
    <w:p w14:paraId="7F500690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3.1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乙方应于本合同生效之日起</w:t>
      </w:r>
      <w:r>
        <w:rPr>
          <w:rFonts w:ascii="宋体" w:hAnsi="宋体"/>
          <w:color w:val="111827"/>
          <w:sz w:val="22"/>
        </w:rPr>
        <w:t xml:space="preserve"> 60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个自然日内完成软件交付、安装部署与数据初始化工作。</w:t>
      </w:r>
    </w:p>
    <w:p w14:paraId="01F92D68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3.2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乙方应在交付前</w:t>
      </w:r>
      <w:r>
        <w:rPr>
          <w:rFonts w:ascii="宋体" w:hAnsi="宋体"/>
          <w:color w:val="111827"/>
          <w:sz w:val="22"/>
        </w:rPr>
        <w:t xml:space="preserve"> 5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工作日向甲方提供软件安装介质及部署环境要求说明。甲方应在软件交付前自行完成服务器硬件采购、操作系统安装、数据库采购及网络安全等级保护备案等环境准备工作。因上述环境准备工作未按时完成导致交付延期的，视为甲方违约，交付期限相应顺延，且甲方应向乙方承担违约责任。</w:t>
      </w:r>
    </w:p>
    <w:p w14:paraId="0A41BDE8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3.3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甲方应向甲方提供软件安装介质、部署文档及系统管理员操作手册各一份。</w:t>
      </w:r>
    </w:p>
    <w:p w14:paraId="7E6C2884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3.4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因甲方生产计划调整需要变更部署时间的，甲方应提前</w:t>
      </w:r>
      <w:r>
        <w:rPr>
          <w:rFonts w:ascii="宋体" w:hAnsi="宋体"/>
          <w:color w:val="111827"/>
          <w:sz w:val="22"/>
        </w:rPr>
        <w:t xml:space="preserve"> 10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个工作日书面通知乙方，乙方应予配合。</w:t>
      </w:r>
    </w:p>
    <w:p w14:paraId="3D059EA8">
      <w:pPr>
        <w:pStyle w:val="4"/>
        <w:spacing w:before="600" w:after="150" w:line="312" w:lineRule="auto"/>
        <w:jc w:val="left"/>
      </w:pPr>
      <w:bookmarkStart w:id="6" w:name="section-4"/>
      <w:bookmarkEnd w:id="6"/>
      <w:bookmarkStart w:id="7" w:name="_Toc_section_4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第四条验收标准与方法</w:t>
      </w:r>
      <w:bookmarkEnd w:id="7"/>
    </w:p>
    <w:p w14:paraId="0705D87F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4.1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验收依据为本合同、附件一《软件产品与服务清单》及附件二《技术需求说明书》。</w:t>
      </w:r>
    </w:p>
    <w:p w14:paraId="54F302B0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4.2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初验：乙方完成安装部署与数据初始化后，应向甲方提交书面初验申请。甲方应在收到初验申请后</w:t>
      </w:r>
      <w:r>
        <w:rPr>
          <w:rFonts w:ascii="宋体" w:hAnsi="宋体"/>
          <w:color w:val="111827"/>
          <w:sz w:val="22"/>
        </w:rPr>
        <w:t xml:space="preserve"> 10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个工作日内组织测试验收。测试期间系统运行稳定、满足甲方使用需求即为初验合格。</w:t>
      </w:r>
    </w:p>
    <w:p w14:paraId="4B07751E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4.3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终验：初验合格后进入</w:t>
      </w:r>
      <w:r>
        <w:rPr>
          <w:rFonts w:ascii="宋体" w:hAnsi="宋体"/>
          <w:color w:val="111827"/>
          <w:sz w:val="22"/>
        </w:rPr>
        <w:t xml:space="preserve"> 30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个自然日试运行期。试运行期内系统未发生影响生产运行的重大故障的，双方组织终验并签署终验报告。</w:t>
      </w:r>
    </w:p>
    <w:p w14:paraId="5966AEB8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4.4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本合同项下验收所需的一切检测、测试及第三方评估费用，均由甲方承担。</w:t>
      </w:r>
    </w:p>
    <w:p w14:paraId="32351147">
      <w:pPr>
        <w:pStyle w:val="4"/>
        <w:spacing w:before="600" w:after="150" w:line="312" w:lineRule="auto"/>
        <w:jc w:val="left"/>
      </w:pPr>
      <w:bookmarkStart w:id="8" w:name="section-5"/>
      <w:bookmarkEnd w:id="8"/>
      <w:bookmarkStart w:id="9" w:name="_Toc_section_5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第五条培训与技术支持</w:t>
      </w:r>
      <w:bookmarkEnd w:id="9"/>
    </w:p>
    <w:p w14:paraId="5CAABEE5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5.1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乙方应免费为甲方提供</w:t>
      </w:r>
      <w:r>
        <w:rPr>
          <w:rFonts w:ascii="宋体" w:hAnsi="宋体"/>
          <w:color w:val="111827"/>
          <w:sz w:val="22"/>
        </w:rPr>
        <w:t xml:space="preserve"> 4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场现场操作培训，每场培训人数不少于</w:t>
      </w:r>
      <w:r>
        <w:rPr>
          <w:rFonts w:ascii="宋体" w:hAnsi="宋体"/>
          <w:color w:val="111827"/>
          <w:sz w:val="22"/>
        </w:rPr>
        <w:t xml:space="preserve"> 30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人。</w:t>
      </w:r>
    </w:p>
    <w:p w14:paraId="4C86F87F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5.2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首年技术支持服务内容包括：工作日</w:t>
      </w:r>
      <w:r>
        <w:rPr>
          <w:rFonts w:ascii="宋体" w:hAnsi="宋体"/>
          <w:color w:val="111827"/>
          <w:sz w:val="22"/>
        </w:rPr>
        <w:t xml:space="preserve"> 8:00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至</w:t>
      </w:r>
      <w:r>
        <w:rPr>
          <w:rFonts w:ascii="宋体" w:hAnsi="宋体"/>
          <w:color w:val="111827"/>
          <w:sz w:val="22"/>
        </w:rPr>
        <w:t xml:space="preserve"> 18:00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的电话与在线支持、软件版本升级、系统故障排查与修复。</w:t>
      </w:r>
    </w:p>
    <w:p w14:paraId="417F4933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5.3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凡因甲方人员误操作导致的数据错误，有乙方负责协助修复，所需费用由甲方承担。</w:t>
      </w:r>
    </w:p>
    <w:p w14:paraId="797BCFCB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5.4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首年技术支持服务期满后，如甲方续约，年服务费按本合同软件许可费金额的</w:t>
      </w:r>
      <w:r>
        <w:rPr>
          <w:rFonts w:ascii="宋体" w:hAnsi="宋体"/>
          <w:color w:val="111827"/>
          <w:sz w:val="22"/>
        </w:rPr>
        <w:t xml:space="preserve"> 15%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计取。</w:t>
      </w:r>
    </w:p>
    <w:p w14:paraId="76E3A173">
      <w:pPr>
        <w:pStyle w:val="4"/>
        <w:spacing w:before="600" w:after="150" w:line="312" w:lineRule="auto"/>
        <w:jc w:val="left"/>
      </w:pPr>
      <w:bookmarkStart w:id="10" w:name="section-6"/>
      <w:bookmarkEnd w:id="10"/>
      <w:bookmarkStart w:id="11" w:name="_Toc_section_6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第六条知识产权</w:t>
      </w:r>
      <w:bookmarkEnd w:id="11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2"/>
      </w:tblGrid>
      <w:tr w14:paraId="56C81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2563EB" w:sz="18" w:space="0"/>
              <w:bottom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A0D8C7B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知识产权条款</w:t>
            </w:r>
          </w:p>
        </w:tc>
      </w:tr>
      <w:tr w14:paraId="60264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2563EB" w:sz="18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13D190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  6.1本合同项下软件产品及其源代码、技术文档的全部知识产权归乙方所有。</w:t>
            </w:r>
            <w:r>
              <w:t xml:space="preserve"> </w:t>
            </w:r>
          </w:p>
          <w:p w14:paraId="78841F8D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6.2乙方保证其为本合同项下软件的合法权利人，有权向甲方授予本合同所约定的使用许可。</w:t>
            </w:r>
            <w:r>
              <w:t xml:space="preserve"> </w:t>
            </w:r>
          </w:p>
          <w:p w14:paraId="61B72970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6.3甲方应在本合同约定的许可范围内使用软件，不得对软件进行反向工程、反编译、破解或以其他方式获取源代码。</w:t>
            </w:r>
            <w:r>
              <w:t xml:space="preserve"> </w:t>
            </w:r>
          </w:p>
          <w:p w14:paraId="76BD588E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6.4本合同履行过程中，甲方基于自身业务需求提出的定制化功能需求，其实现方案所产生的技术成果归乙方所有。</w:t>
            </w:r>
          </w:p>
        </w:tc>
      </w:tr>
    </w:tbl>
    <w:p w14:paraId="4B3CC38D"/>
    <w:p w14:paraId="05AA25EB">
      <w:pPr>
        <w:pBdr>
          <w:bottom w:val="single" w:color="auto" w:sz="6" w:space="1"/>
        </w:pBdr>
      </w:pPr>
    </w:p>
    <w:p w14:paraId="07B60F26">
      <w:pPr>
        <w:pStyle w:val="4"/>
        <w:spacing w:before="600" w:after="150" w:line="312" w:lineRule="auto"/>
        <w:jc w:val="left"/>
      </w:pPr>
      <w:bookmarkStart w:id="12" w:name="section-7"/>
      <w:bookmarkEnd w:id="12"/>
      <w:bookmarkStart w:id="13" w:name="_Toc_section_7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第七条保密</w:t>
      </w:r>
      <w:bookmarkEnd w:id="13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2"/>
      </w:tblGrid>
      <w:tr w14:paraId="1C4E5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2563EB" w:sz="18" w:space="0"/>
              <w:bottom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F630FF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保密条款</w:t>
            </w:r>
          </w:p>
        </w:tc>
      </w:tr>
      <w:tr w14:paraId="6B477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2563EB" w:sz="18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946B57D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  7.1双方对在本合同签订及履行过程中知悉的对方商业秘密、技术秘密及客户信息负有保密义务，未经对方书面同意，不得向任何第三方披露。</w:t>
            </w:r>
            <w:r>
              <w:t xml:space="preserve"> </w:t>
            </w:r>
          </w:p>
          <w:p w14:paraId="7A233EF2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7.2保密义务在本合同终止后三年内继续有效。</w:t>
            </w:r>
          </w:p>
        </w:tc>
      </w:tr>
    </w:tbl>
    <w:p w14:paraId="330302B6"/>
    <w:p w14:paraId="4053FCE6">
      <w:pPr>
        <w:pBdr>
          <w:bottom w:val="single" w:color="auto" w:sz="6" w:space="1"/>
        </w:pBdr>
      </w:pPr>
    </w:p>
    <w:p w14:paraId="7721F9AA">
      <w:pPr>
        <w:pStyle w:val="4"/>
        <w:spacing w:before="600" w:after="150" w:line="312" w:lineRule="auto"/>
        <w:jc w:val="left"/>
      </w:pPr>
      <w:bookmarkStart w:id="14" w:name="section-8"/>
      <w:bookmarkEnd w:id="14"/>
      <w:bookmarkStart w:id="15" w:name="_Toc_section_8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第八条违约责任</w:t>
      </w:r>
      <w:bookmarkEnd w:id="15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2"/>
      </w:tblGrid>
      <w:tr w14:paraId="62B90315">
        <w:tc>
          <w:tcPr>
            <w:tcW w:w="8640" w:type="dxa"/>
            <w:tcBorders>
              <w:left w:val="single" w:color="2563EB" w:sz="18" w:space="0"/>
              <w:bottom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CEDDDEF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违约责任与赔偿条款</w:t>
            </w:r>
          </w:p>
        </w:tc>
      </w:tr>
      <w:tr w14:paraId="2BF1A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F9FAFB" w:sz="18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DADBFB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  8.1乙方逾期交付的，每逾期一日，按合同总价款的万分之五向甲方支付违约金。</w:t>
            </w:r>
            <w:r>
              <w:t xml:space="preserve"> </w:t>
            </w:r>
          </w:p>
          <w:p w14:paraId="4682A1BC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8.2甲方逾期支付的，每逾期一日，按应付未付款项的万分之一向乙方支付违约金。</w:t>
            </w:r>
            <w:r>
              <w:t xml:space="preserve"> </w:t>
            </w:r>
          </w:p>
          <w:p w14:paraId="0E0A0AE7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8.3乙方逾期交付超过 30 日的，除按第 8.1 条支付违约金外，另按合同总价款的 10% 向甲方支付违约金。</w:t>
            </w:r>
            <w:r>
              <w:t xml:space="preserve"> </w:t>
            </w:r>
          </w:p>
          <w:p w14:paraId="32C3CFD6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8.4因乙方原因造成甲方生产数据丢失或损毁的，乙方向乙方支付违约金人民币 200,000 元，并负责恢复数据。</w:t>
            </w:r>
            <w:r>
              <w:t xml:space="preserve"> </w:t>
            </w:r>
          </w:p>
          <w:p w14:paraId="7EB6C61D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8.5乙方违反本合同约定给甲方造成损失的，应赔偿甲方因此遭受的全部损失，包括但不限于直接损失、间接损失、可得利益损失及第三方索赔。</w:t>
            </w:r>
            <w:r>
              <w:t xml:space="preserve"> </w:t>
            </w:r>
          </w:p>
          <w:p w14:paraId="37939334">
            <w:pPr>
              <w:spacing w:before="60" w:after="60" w:line="240" w:lineRule="auto"/>
              <w:jc w:val="both"/>
            </w:pPr>
            <w:r>
              <w:rPr>
                <w:rFonts w:ascii="宋体" w:hAnsi="宋体"/>
                <w:color w:val="111827"/>
                <w:sz w:val="22"/>
              </w:rPr>
              <w:t>8.6甲方擅自将本合同项下软件用于约定范围以外的，应按合同总价款的 20% 向乙方支付违约金。</w:t>
            </w:r>
          </w:p>
        </w:tc>
      </w:tr>
    </w:tbl>
    <w:p w14:paraId="0F1C717C"/>
    <w:p w14:paraId="18722068">
      <w:pPr>
        <w:pBdr>
          <w:bottom w:val="single" w:color="auto" w:sz="6" w:space="1"/>
        </w:pBdr>
      </w:pPr>
    </w:p>
    <w:p w14:paraId="23A0DFD4">
      <w:pPr>
        <w:pStyle w:val="4"/>
        <w:spacing w:before="600" w:after="150" w:line="312" w:lineRule="auto"/>
        <w:jc w:val="left"/>
      </w:pPr>
      <w:bookmarkStart w:id="16" w:name="section-9"/>
      <w:bookmarkEnd w:id="16"/>
      <w:bookmarkStart w:id="17" w:name="_Toc_section_9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第九条不可抗力</w:t>
      </w:r>
      <w:bookmarkEnd w:id="17"/>
    </w:p>
    <w:p w14:paraId="0A03CFD0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9.1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因不可抗力不能履行本合同的，根据不可抗力的影响，部分或者全部免除责任，但法律另有规定的除外。</w:t>
      </w:r>
    </w:p>
    <w:p w14:paraId="0716ED69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9.2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遭遇不可抗力的一方应在事件发生后</w:t>
      </w:r>
      <w:r>
        <w:rPr>
          <w:rFonts w:ascii="宋体" w:hAnsi="宋体"/>
          <w:color w:val="111827"/>
          <w:sz w:val="22"/>
        </w:rPr>
        <w:t xml:space="preserve"> 15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日内书面通知对方，并在事件发生后</w:t>
      </w:r>
      <w:r>
        <w:rPr>
          <w:rFonts w:ascii="宋体" w:hAnsi="宋体"/>
          <w:color w:val="111827"/>
          <w:sz w:val="22"/>
        </w:rPr>
        <w:t xml:space="preserve"> 30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日内向对方提供有效证明文件。</w:t>
      </w:r>
    </w:p>
    <w:p w14:paraId="3F7703D9">
      <w:pPr>
        <w:pStyle w:val="4"/>
        <w:spacing w:before="600" w:after="150" w:line="312" w:lineRule="auto"/>
        <w:jc w:val="left"/>
      </w:pPr>
      <w:bookmarkStart w:id="18" w:name="section-10"/>
      <w:bookmarkEnd w:id="18"/>
      <w:bookmarkStart w:id="19" w:name="_Toc_section_10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第十条争议解决</w:t>
      </w:r>
      <w:bookmarkEnd w:id="19"/>
    </w:p>
    <w:p w14:paraId="4B9548DA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10.1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本合同的订立、效力、解释、履行及争议解决均适用中华人民共和国法律。</w:t>
      </w:r>
    </w:p>
    <w:p w14:paraId="6FB60A9D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10.2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因本合同引起的或与本合同有关的任何争议，双方应首先友好协商解决；协商不成的，任何一方均可向乙方所在地人民法院提起诉讼。</w:t>
      </w:r>
    </w:p>
    <w:p w14:paraId="082D1B78">
      <w:pPr>
        <w:pStyle w:val="4"/>
        <w:spacing w:before="600" w:after="150" w:line="312" w:lineRule="auto"/>
        <w:jc w:val="left"/>
      </w:pPr>
      <w:bookmarkStart w:id="20" w:name="section-11"/>
      <w:bookmarkEnd w:id="20"/>
      <w:bookmarkStart w:id="21" w:name="_Toc_section_11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第十一条合同的生效、变更与终止</w:t>
      </w:r>
      <w:bookmarkEnd w:id="21"/>
    </w:p>
    <w:p w14:paraId="675524F7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11.1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本合同自双方签字盖章之日起生效，有效期三年。</w:t>
      </w:r>
    </w:p>
    <w:p w14:paraId="6E8BBF09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11.2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本合同的任何变更、补充均须经双方签署书面文件方为有效。</w:t>
      </w:r>
    </w:p>
    <w:p w14:paraId="19D480A4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11.3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经双方协商一致，可以书面形式解除本合同。</w:t>
      </w:r>
    </w:p>
    <w:p w14:paraId="6560966D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11.4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甲方应在系统交付后</w:t>
      </w:r>
      <w:r>
        <w:rPr>
          <w:rFonts w:ascii="宋体" w:hAnsi="宋体"/>
          <w:color w:val="111827"/>
          <w:sz w:val="22"/>
        </w:rPr>
        <w:t xml:space="preserve"> 15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个自然日内完成验收并签署验收报告；逾期未签署的，视为验收合格。</w:t>
      </w:r>
    </w:p>
    <w:p w14:paraId="6198934C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11.5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本合同解除或终止后，双方应就已完成的工作量与已支付款项进行结算。</w:t>
      </w:r>
    </w:p>
    <w:p w14:paraId="5F5BE056">
      <w:pPr>
        <w:pStyle w:val="4"/>
        <w:spacing w:before="600" w:after="150" w:line="312" w:lineRule="auto"/>
        <w:jc w:val="left"/>
      </w:pPr>
      <w:bookmarkStart w:id="22" w:name="section-12"/>
      <w:bookmarkEnd w:id="22"/>
      <w:bookmarkStart w:id="23" w:name="_Toc_section_12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第十二条其他</w:t>
      </w:r>
      <w:bookmarkEnd w:id="23"/>
    </w:p>
    <w:p w14:paraId="768A47EA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12.1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本合同一式肆份，甲乙双方各执贰份，具有同等法律效力。</w:t>
      </w:r>
    </w:p>
    <w:p w14:paraId="167D7B36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12.2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本合同未尽事宜，双方可另行签订补充协议，补充协议与本合同具有同等法律效力。</w:t>
      </w:r>
    </w:p>
    <w:p w14:paraId="07EBFC64">
      <w:pPr>
        <w:spacing w:after="110" w:line="408" w:lineRule="auto"/>
        <w:jc w:val="both"/>
      </w:pPr>
      <w:r>
        <w:rPr>
          <w:rFonts w:ascii="宋体" w:hAnsi="宋体"/>
          <w:color w:val="111827"/>
          <w:sz w:val="22"/>
        </w:rPr>
        <w:t>12.3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双方确认，本合同首部所载联系方式为有效送达地址，任何一方变更送达地址应提前书面通知对方。</w:t>
      </w:r>
    </w:p>
    <w:p w14:paraId="62F3A68D">
      <w:pPr>
        <w:pStyle w:val="4"/>
        <w:spacing w:before="600" w:after="150" w:line="312" w:lineRule="auto"/>
        <w:jc w:val="left"/>
      </w:pPr>
      <w:bookmarkStart w:id="24" w:name="section-13"/>
      <w:bookmarkEnd w:id="24"/>
      <w:bookmarkStart w:id="25" w:name="_Toc_section_13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附件一</w:t>
      </w:r>
      <w:bookmarkStart w:id="28" w:name="_GoBack"/>
      <w:bookmarkEnd w:id="28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软件产品与服务清单</w:t>
      </w:r>
      <w:bookmarkEnd w:id="25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8"/>
        <w:gridCol w:w="1708"/>
        <w:gridCol w:w="1713"/>
        <w:gridCol w:w="1715"/>
      </w:tblGrid>
      <w:tr w14:paraId="086DA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06D2710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序号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1610AD4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模块名称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48A244D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许可数量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7E6574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单价（元）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43C83FB">
            <w:pPr>
              <w:spacing w:before="45" w:after="45" w:line="240" w:lineRule="auto"/>
              <w:jc w:val="left"/>
            </w:pPr>
            <w:r>
              <w:rPr>
                <w:rFonts w:hint="eastAsia" w:ascii="黑体" w:hAnsi="黑体" w:eastAsia="黑体"/>
                <w:b/>
                <w:color w:val="111827"/>
                <w:sz w:val="18"/>
              </w:rPr>
              <w:t>金额（元）</w:t>
            </w:r>
          </w:p>
        </w:tc>
      </w:tr>
      <w:tr w14:paraId="179FB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EE4B8BD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14C6490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生产计划管理模块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F834D29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80  用户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50C66D2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3,600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95546D5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288,000</w:t>
            </w:r>
          </w:p>
        </w:tc>
      </w:tr>
      <w:tr w14:paraId="09CB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F846750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0F58E2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车间执行与报工模块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0C67214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80  用户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9E8084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3,600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22A818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288,000</w:t>
            </w:r>
          </w:p>
        </w:tc>
      </w:tr>
      <w:tr w14:paraId="01BF9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5EB0F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544FE6B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质量追溯模块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4F742F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80  用户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F270A6C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2,400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025528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192,000</w:t>
            </w:r>
          </w:p>
        </w:tc>
      </w:tr>
      <w:tr w14:paraId="49C8F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88537A8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64DA0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设备联网与数据采集模块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14DDC7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80  用户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91471E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2,400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046B430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192,000</w:t>
            </w:r>
          </w:p>
        </w:tc>
      </w:tr>
      <w:tr w14:paraId="632AF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D939812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18E54C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合计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E018484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6E95C6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color w:val="111827"/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F549F2A">
            <w:pPr>
              <w:spacing w:before="62" w:after="62" w:line="240" w:lineRule="auto"/>
              <w:jc w:val="left"/>
            </w:pPr>
            <w:r>
              <w:rPr>
                <w:rFonts w:hint="eastAsia" w:ascii="宋体" w:hAnsi="宋体" w:eastAsia="宋体"/>
                <w:b/>
                <w:color w:val="111827"/>
                <w:sz w:val="18"/>
              </w:rPr>
              <w:t>960,000</w:t>
            </w:r>
          </w:p>
        </w:tc>
      </w:tr>
    </w:tbl>
    <w:p w14:paraId="4301D0B3"/>
    <w:p w14:paraId="6EFEC2D2">
      <w:pPr>
        <w:pBdr>
          <w:bottom w:val="single" w:color="auto" w:sz="6" w:space="1"/>
        </w:pBdr>
      </w:pPr>
    </w:p>
    <w:p w14:paraId="34650B34">
      <w:pPr>
        <w:pStyle w:val="4"/>
        <w:spacing w:before="600" w:after="150" w:line="312" w:lineRule="auto"/>
        <w:jc w:val="left"/>
      </w:pPr>
      <w:bookmarkStart w:id="26" w:name="section-14"/>
      <w:bookmarkEnd w:id="26"/>
      <w:bookmarkStart w:id="27" w:name="_Toc_section_14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附件二技术需求说明书</w:t>
      </w:r>
      <w:bookmarkEnd w:id="27"/>
    </w:p>
    <w:p w14:paraId="7E4B73FD">
      <w:pPr>
        <w:spacing w:after="110" w:line="408" w:lineRule="auto"/>
        <w:jc w:val="both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《技术需求说明书》另册，经双方签字确认后生效，与本合同具有同等法律效力。</w:t>
      </w:r>
    </w:p>
    <w:p w14:paraId="58F0BB4E">
      <w:pPr>
        <w:spacing w:after="110" w:line="408" w:lineRule="auto"/>
        <w:jc w:val="left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甲方（盖章）：瀚元智能装备制造有限公司</w:t>
      </w:r>
    </w:p>
    <w:p w14:paraId="62AB847A">
      <w:pPr>
        <w:spacing w:after="110" w:line="408" w:lineRule="auto"/>
        <w:jc w:val="left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法定代表人／委托代理人（签字）：＿＿＿＿＿＿＿＿</w:t>
      </w:r>
    </w:p>
    <w:p w14:paraId="6874EDD5">
      <w:pPr>
        <w:spacing w:after="110" w:line="408" w:lineRule="auto"/>
        <w:jc w:val="left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签订日期：</w:t>
      </w:r>
      <w:r>
        <w:rPr>
          <w:rFonts w:ascii="宋体" w:hAnsi="宋体"/>
          <w:color w:val="111827"/>
          <w:sz w:val="22"/>
        </w:rPr>
        <w:t xml:space="preserve">2026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年</w:t>
      </w:r>
      <w:r>
        <w:rPr>
          <w:rFonts w:ascii="宋体" w:hAnsi="宋体"/>
          <w:color w:val="111827"/>
          <w:sz w:val="22"/>
        </w:rPr>
        <w:t xml:space="preserve"> 9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月</w:t>
      </w:r>
      <w:r>
        <w:rPr>
          <w:rFonts w:ascii="宋体" w:hAnsi="宋体"/>
          <w:color w:val="111827"/>
          <w:sz w:val="22"/>
        </w:rPr>
        <w:t xml:space="preserve"> 10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日</w:t>
      </w:r>
    </w:p>
    <w:p w14:paraId="7F3D8413">
      <w:pPr>
        <w:spacing w:after="110" w:line="408" w:lineRule="auto"/>
        <w:jc w:val="left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乙方（盖章）：云枢软件技术（武汉）有限公司</w:t>
      </w:r>
    </w:p>
    <w:p w14:paraId="641179DB">
      <w:pPr>
        <w:spacing w:after="110" w:line="408" w:lineRule="auto"/>
        <w:jc w:val="left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法定代表人／委托代理人（签字）：＿＿＿＿＿＿＿＿</w:t>
      </w:r>
    </w:p>
    <w:p w14:paraId="296BAC58">
      <w:pPr>
        <w:spacing w:after="110" w:line="408" w:lineRule="auto"/>
        <w:jc w:val="left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签订日期：</w:t>
      </w:r>
      <w:r>
        <w:rPr>
          <w:rFonts w:ascii="宋体" w:hAnsi="宋体"/>
          <w:color w:val="111827"/>
          <w:sz w:val="22"/>
        </w:rPr>
        <w:t xml:space="preserve">2026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年</w:t>
      </w:r>
      <w:r>
        <w:rPr>
          <w:rFonts w:ascii="宋体" w:hAnsi="宋体"/>
          <w:color w:val="111827"/>
          <w:sz w:val="22"/>
        </w:rPr>
        <w:t xml:space="preserve"> 8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月</w:t>
      </w:r>
      <w:r>
        <w:rPr>
          <w:rFonts w:ascii="宋体" w:hAnsi="宋体"/>
          <w:color w:val="111827"/>
          <w:sz w:val="22"/>
        </w:rPr>
        <w:t xml:space="preserve"> 1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日</w:t>
      </w:r>
    </w:p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3602D">
    <w:pPr>
      <w:pStyle w:val="24"/>
      <w:tabs>
        <w:tab w:val="center" w:pos="4156"/>
        <w:tab w:val="right" w:pos="8312"/>
      </w:tabs>
    </w:pPr>
    <w:r>
      <w:tab/>
    </w: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20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7" w:lineRule="auto"/>
    </w:pPr>
    <w:rPr>
      <w:rFonts w:ascii="宋体" w:hAnsi="宋体" w:eastAsia="宋体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1788</Words>
  <Characters>2022</Characters>
  <Lines>0</Lines>
  <Paragraphs>0</Paragraphs>
  <TotalTime>0</TotalTime>
  <ScaleCrop>false</ScaleCrop>
  <LinksUpToDate>false</LinksUpToDate>
  <CharactersWithSpaces>2156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zhezhiskye</cp:lastModifiedBy>
  <dcterms:modified xsi:type="dcterms:W3CDTF">2026-09-16T01:23:46Z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eyJoZGlkIjoiMTA2ZGFjYWE0MWUyMjhjMmI3ZGFiOWMzYTUyNjBjMDIiLCJ1c2VySWQiOiIzMjg2NjA2OTgifQ==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6BB475F7640141918550C2FDEF2231CC_12</vt:lpwstr>
  </property>
</Properties>
</file>