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2ub167v0es7" w:id="0"/>
      <w:bookmarkEnd w:id="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Alreshidi, M. M., Dunstan, R. H., Macdonald, M. M., Gottfries, J., &amp; Roberts, T. K. (2019). The Uptake and Release of Amino Acids by Staphylococcus aureus at Mid-Exponential and Stationary Phases and Their Corresponding Responses to Changes in Temperature, pH and Osmolality. </w:t>
      </w:r>
      <w:r w:rsidDel="00000000" w:rsidR="00000000" w:rsidRPr="00000000">
        <w:rPr>
          <w:i w:val="1"/>
          <w:iCs w:val="1"/>
          <w:rtl w:val="0"/>
        </w:rPr>
        <w:t xml:space="preserve">Frontiers in Microbiology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, 3059.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https://doi.org/10.3389/fmicb.2019.03059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Fraunholz, M., Bernhardt, J., Schuldes, J., Daniel, R., Hecker, M., &amp; Sinha, B. (2013). Complete Genome Sequence of Staphylococcus aureus 6850, a Highly Cytotoxic and Clinically Virulent Methicillin-Sensitive Strain with Distant Relatedness to Prototype Strains. </w:t>
      </w:r>
      <w:r w:rsidDel="00000000" w:rsidR="00000000" w:rsidRPr="00000000">
        <w:rPr>
          <w:i w:val="1"/>
          <w:iCs w:val="1"/>
          <w:rtl w:val="0"/>
        </w:rPr>
        <w:t xml:space="preserve">Genome Announcements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(5), e00775-13.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https://doi.org/10.1128/genomeA.00775-13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Halsey, C. R., Lei, S., Wax, J. K., Lehman, M. K., Nuxoll, A. S., Steinke, L., Sadykov, M., Powers, R., &amp; Fey, P. D. (2017). Amino Acid Catabolism in Staphylococcus aureus and the Function of Carbon Catabolite Repression. </w:t>
      </w:r>
      <w:r w:rsidDel="00000000" w:rsidR="00000000" w:rsidRPr="00000000">
        <w:rPr>
          <w:i w:val="1"/>
          <w:iCs w:val="1"/>
          <w:rtl w:val="0"/>
        </w:rPr>
        <w:t xml:space="preserve">mBio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(1), e01434-16.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https://doi.org/10.1128/mBio.01434-16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Hiron, A., Borezée-Durant, E., Piard, J.-C., &amp; Juillard, V. (2007). Only one of four oligopeptide transport systems mediates nitrogen nutrition in Staphylococcus aureus. </w:t>
      </w:r>
      <w:r w:rsidDel="00000000" w:rsidR="00000000" w:rsidRPr="00000000">
        <w:rPr>
          <w:i w:val="1"/>
          <w:iCs w:val="1"/>
          <w:rtl w:val="0"/>
        </w:rPr>
        <w:t xml:space="preserve">Journal of Bacteriology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189</w:t>
      </w:r>
      <w:r w:rsidDel="00000000" w:rsidR="00000000" w:rsidRPr="00000000">
        <w:rPr>
          <w:rtl w:val="0"/>
        </w:rPr>
        <w:t xml:space="preserve">(14), 5119–5129.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https://doi.org/10.1128/JB.00274-07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Kaiser, J. C., Sen, S., Sinha, A., Wilkinson, B. J., &amp; Heinrichs, D. E. (2016). The role of two branched‐chain amino acid transporters in </w:t>
      </w:r>
      <w:r w:rsidDel="00000000" w:rsidR="00000000" w:rsidRPr="00000000">
        <w:rPr>
          <w:i w:val="1"/>
          <w:iCs w:val="1"/>
          <w:smallCaps w:val="1"/>
          <w:rtl w:val="0"/>
        </w:rPr>
        <w:t xml:space="preserve">S</w:t>
      </w:r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taphylococcus aureus</w:t>
      </w:r>
      <w:r w:rsidDel="00000000" w:rsidR="00000000" w:rsidRPr="00000000">
        <w:rPr>
          <w:rtl w:val="0"/>
        </w:rPr>
        <w:t xml:space="preserve"> growth, membrane fatty acid composition and virulence. </w:t>
      </w:r>
      <w:r w:rsidDel="00000000" w:rsidR="00000000" w:rsidRPr="00000000">
        <w:rPr>
          <w:i w:val="1"/>
          <w:iCs w:val="1"/>
          <w:rtl w:val="0"/>
        </w:rPr>
        <w:t xml:space="preserve">Molecular Microbiology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102</w:t>
      </w:r>
      <w:r w:rsidDel="00000000" w:rsidR="00000000" w:rsidRPr="00000000">
        <w:rPr>
          <w:rtl w:val="0"/>
        </w:rPr>
        <w:t xml:space="preserve">(5), 850–864.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https://doi.org/10.1111/mmi.13495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Lehman, M. K., Sturd, N. A., Razvi, F., Wellems, D. L., Carson, S. D., &amp; Fey, P. D. (2023). Proline transporters ProT and PutP are required for Staphylococcus aureus infection. </w:t>
      </w:r>
      <w:r w:rsidDel="00000000" w:rsidR="00000000" w:rsidRPr="00000000">
        <w:rPr>
          <w:i w:val="1"/>
          <w:iCs w:val="1"/>
          <w:rtl w:val="0"/>
        </w:rPr>
        <w:t xml:space="preserve">PLOS Pathogens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19</w:t>
      </w:r>
      <w:r w:rsidDel="00000000" w:rsidR="00000000" w:rsidRPr="00000000">
        <w:rPr>
          <w:rtl w:val="0"/>
        </w:rPr>
        <w:t xml:space="preserve">(1), e1011098.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https://doi.org/10.1371/journal.ppat.1011098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Lensmire, J. M., Dodson, J. P., Hsueh, B. Y., Wischer, M. R., Delekta, P. C., Shook, J. C., Ottosen, E. N., Kies, P. J., Ravi, J., &amp; Hammer, N. D. (2020). The Staphylococcus aureus Cystine Transporters TcyABC and TcyP Facilitate Nutrient Sulfur Acquisition during Infection. </w:t>
      </w:r>
      <w:r w:rsidDel="00000000" w:rsidR="00000000" w:rsidRPr="00000000">
        <w:rPr>
          <w:i w:val="1"/>
          <w:iCs w:val="1"/>
          <w:rtl w:val="0"/>
        </w:rPr>
        <w:t xml:space="preserve">Infection and Immunity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(3), e00690-19.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https://doi.org/10.1128/IAI.00690-19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Niggli, S., Schwyter, L., Poveda, L., Grossmann, J., &amp; Kümmerli, R. (n.d.). Rapid and strain-specific resistance evolution of Staphylococcus aureus against inhibitory molecules secreted by Pseudomonas aeruginosa. </w:t>
      </w:r>
      <w:r w:rsidDel="00000000" w:rsidR="00000000" w:rsidRPr="00000000">
        <w:rPr>
          <w:i w:val="1"/>
          <w:iCs w:val="1"/>
          <w:rtl w:val="0"/>
        </w:rPr>
        <w:t xml:space="preserve">mBio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(5), e03153-22.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https://doi.org/10.1128/mbio.03153-22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Nobre, L. S., &amp; Saraiva, L. M. (2014). Role of the siderophore transporter SirABC in the Staphylococcus aureus resistance to oxidative stress. </w:t>
      </w:r>
      <w:r w:rsidDel="00000000" w:rsidR="00000000" w:rsidRPr="00000000">
        <w:rPr>
          <w:i w:val="1"/>
          <w:iCs w:val="1"/>
          <w:rtl w:val="0"/>
        </w:rPr>
        <w:t xml:space="preserve">Current Microbiology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69</w:t>
      </w:r>
      <w:r w:rsidDel="00000000" w:rsidR="00000000" w:rsidRPr="00000000">
        <w:rPr>
          <w:rtl w:val="0"/>
        </w:rPr>
        <w:t xml:space="preserve">(2), 164–168.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https://doi.org/10.1007/s00284-014-0567-y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Remy, L., Carrière, M., Derré-Bobillot, A., Martini, C., Sanguinetti, M., &amp; Borezée-Durant, E. (2013). The Staphylococcus aureus Opp1 ABC transporter imports nickel and cobalt in zinc-depleted conditions and contributes to virulence. </w:t>
      </w:r>
      <w:r w:rsidDel="00000000" w:rsidR="00000000" w:rsidRPr="00000000">
        <w:rPr>
          <w:i w:val="1"/>
          <w:iCs w:val="1"/>
          <w:rtl w:val="0"/>
        </w:rPr>
        <w:t xml:space="preserve">Molecular Microbiology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(4), 730–743.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https://doi.org/10.1111/mmi.12126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Role of the Siderophore Transporter SirABC in the Staphylococcus aureus Resistance to Oxidative Stress | Current Microbiology</w:t>
      </w:r>
      <w:r w:rsidDel="00000000" w:rsidR="00000000" w:rsidRPr="00000000">
        <w:rPr>
          <w:rtl w:val="0"/>
        </w:rPr>
        <w:t xml:space="preserve">. (n.d.). Retrieved 20 November 2025, from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https://link.springer.com/article/10.1007/s00284-014-0567-y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Schoenfelder, S. M. K., Marincola, G., Geiger, T., Goerke, C., Wolz, C., &amp; Ziebuhr, W. (2013). Methionine Biosynthesis in Staphylococcus aureus Is Tightly Controlled by a Hierarchical Network Involving an Initiator tRNA-Specific T-box Riboswitch. </w:t>
      </w:r>
      <w:r w:rsidDel="00000000" w:rsidR="00000000" w:rsidRPr="00000000">
        <w:rPr>
          <w:i w:val="1"/>
          <w:iCs w:val="1"/>
          <w:rtl w:val="0"/>
        </w:rPr>
        <w:t xml:space="preserve">PLoS Pathogens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(9), e1003606.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https://doi.org/10.1371/journal.ppat.1003606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Schwyter, L., Niggli, S., Zajac, N., Poveda, L., Wolski, W. E., Panse, C., Schlapbach, R., Kümmerli, R., &amp; Grossmann, J. (n.d.). A combination of phenotypic responses and genetic adaptations enables Staphylococcus aureus to withstand inhibitory molecules secreted by Pseudomonas aeruginosa. </w:t>
      </w:r>
      <w:r w:rsidDel="00000000" w:rsidR="00000000" w:rsidRPr="00000000">
        <w:rPr>
          <w:i w:val="1"/>
          <w:iCs w:val="1"/>
          <w:rtl w:val="0"/>
        </w:rPr>
        <w:t xml:space="preserve">mSystems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(8), e00262-25.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https://doi.org/10.1128/msystems.00262-25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Soutourina, O., Poupel, O., Coppée, J.-Y., Danchin, A., Msadek, T., &amp; Martin-Verstraete, I. (2009). CymR, the master regulator of cysteine metabolism in Staphylococcus aureus, controls host sulphur source utilization and plays a role in biofilm formation. </w:t>
      </w:r>
      <w:r w:rsidDel="00000000" w:rsidR="00000000" w:rsidRPr="00000000">
        <w:rPr>
          <w:i w:val="1"/>
          <w:iCs w:val="1"/>
          <w:rtl w:val="0"/>
        </w:rPr>
        <w:t xml:space="preserve">Molecular Microbiology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73</w:t>
      </w:r>
      <w:r w:rsidDel="00000000" w:rsidR="00000000" w:rsidRPr="00000000">
        <w:rPr>
          <w:rtl w:val="0"/>
        </w:rPr>
        <w:t xml:space="preserve">(2), 194–211.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https://doi.org/10.1111/j.1365-2958.2009.06760.x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Williams, W. A., Zhang, R., Zhou, M., Joachimiak, G., Gornicki, P., Missiakas, D., &amp; Joachimiak, A. (2004). The Membrane-Associated Lipoprotein-9 GmpC from </w:t>
      </w:r>
      <w:r w:rsidDel="00000000" w:rsidR="00000000" w:rsidRPr="00000000">
        <w:rPr>
          <w:i w:val="1"/>
          <w:iCs w:val="1"/>
          <w:rtl w:val="0"/>
        </w:rPr>
        <w:t xml:space="preserve">Staphylococcus aureus</w:t>
      </w:r>
      <w:r w:rsidDel="00000000" w:rsidR="00000000" w:rsidRPr="00000000">
        <w:rPr>
          <w:rtl w:val="0"/>
        </w:rPr>
        <w:t xml:space="preserve"> Binds the Dipeptide GlyMet via Side Chain Interactions</w:t>
      </w:r>
      <w:r w:rsidDel="00000000" w:rsidR="00000000" w:rsidRPr="00000000">
        <w:rPr>
          <w:vertAlign w:val="superscript"/>
          <w:rtl w:val="0"/>
        </w:rPr>
        <w:t xml:space="preserve">,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Biochemistry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43</w:t>
      </w:r>
      <w:r w:rsidDel="00000000" w:rsidR="00000000" w:rsidRPr="00000000">
        <w:rPr>
          <w:rtl w:val="0"/>
        </w:rPr>
        <w:t xml:space="preserve">(51), 16193–16202.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https://doi.org/10.1021/bi048877o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880" w:hanging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Zeden, M. S., Burke, Ó., Vallely, M., Fingleton, C., &amp; O’Gara, J. P. (2021). Exploring amino acid and peptide transporters as therapeutic targets to attenuate virulence and antibiotic resistance in Staphylococcus aureus. </w:t>
      </w:r>
      <w:r w:rsidDel="00000000" w:rsidR="00000000" w:rsidRPr="00000000">
        <w:rPr>
          <w:i w:val="1"/>
          <w:iCs w:val="1"/>
          <w:rtl w:val="0"/>
        </w:rPr>
        <w:t xml:space="preserve">PLOS Pathogens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(1), e1009093.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https://doi.org/10.1371/journal.ppat.1009093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128/mbio.03153-22" TargetMode="External"/><Relationship Id="rId22" Type="http://schemas.openxmlformats.org/officeDocument/2006/relationships/hyperlink" Target="https://doi.org/10.1007/s00284-014-0567-y" TargetMode="External"/><Relationship Id="rId21" Type="http://schemas.openxmlformats.org/officeDocument/2006/relationships/hyperlink" Target="https://doi.org/10.1128/mbio.03153-22" TargetMode="External"/><Relationship Id="rId24" Type="http://schemas.openxmlformats.org/officeDocument/2006/relationships/hyperlink" Target="https://doi.org/10.1111/mmi.12126" TargetMode="External"/><Relationship Id="rId23" Type="http://schemas.openxmlformats.org/officeDocument/2006/relationships/hyperlink" Target="https://doi.org/10.1007/s00284-014-0567-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28/genomeA.00775-13" TargetMode="External"/><Relationship Id="rId26" Type="http://schemas.openxmlformats.org/officeDocument/2006/relationships/hyperlink" Target="https://link.springer.com/article/10.1007/s00284-014-0567-y" TargetMode="External"/><Relationship Id="rId25" Type="http://schemas.openxmlformats.org/officeDocument/2006/relationships/hyperlink" Target="https://doi.org/10.1111/mmi.12126" TargetMode="External"/><Relationship Id="rId28" Type="http://schemas.openxmlformats.org/officeDocument/2006/relationships/hyperlink" Target="https://doi.org/10.1371/journal.ppat.1003606" TargetMode="External"/><Relationship Id="rId27" Type="http://schemas.openxmlformats.org/officeDocument/2006/relationships/hyperlink" Target="https://link.springer.com/article/10.1007/s00284-014-0567-y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3389/fmicb.2019.03059" TargetMode="External"/><Relationship Id="rId29" Type="http://schemas.openxmlformats.org/officeDocument/2006/relationships/hyperlink" Target="https://doi.org/10.1371/journal.ppat.1003606" TargetMode="External"/><Relationship Id="rId7" Type="http://schemas.openxmlformats.org/officeDocument/2006/relationships/hyperlink" Target="https://doi.org/10.3389/fmicb.2019.03059" TargetMode="External"/><Relationship Id="rId8" Type="http://schemas.openxmlformats.org/officeDocument/2006/relationships/hyperlink" Target="https://doi.org/10.1128/genomeA.00775-13" TargetMode="External"/><Relationship Id="rId31" Type="http://schemas.openxmlformats.org/officeDocument/2006/relationships/hyperlink" Target="https://doi.org/10.1128/msystems.00262-25" TargetMode="External"/><Relationship Id="rId30" Type="http://schemas.openxmlformats.org/officeDocument/2006/relationships/hyperlink" Target="https://doi.org/10.1128/msystems.00262-25" TargetMode="External"/><Relationship Id="rId11" Type="http://schemas.openxmlformats.org/officeDocument/2006/relationships/hyperlink" Target="https://doi.org/10.1128/mBio.01434-16" TargetMode="External"/><Relationship Id="rId33" Type="http://schemas.openxmlformats.org/officeDocument/2006/relationships/hyperlink" Target="https://doi.org/10.1111/j.1365-2958.2009.06760.x" TargetMode="External"/><Relationship Id="rId10" Type="http://schemas.openxmlformats.org/officeDocument/2006/relationships/hyperlink" Target="https://doi.org/10.1128/mBio.01434-16" TargetMode="External"/><Relationship Id="rId32" Type="http://schemas.openxmlformats.org/officeDocument/2006/relationships/hyperlink" Target="https://doi.org/10.1111/j.1365-2958.2009.06760.x" TargetMode="External"/><Relationship Id="rId13" Type="http://schemas.openxmlformats.org/officeDocument/2006/relationships/hyperlink" Target="https://doi.org/10.1128/JB.00274-07" TargetMode="External"/><Relationship Id="rId35" Type="http://schemas.openxmlformats.org/officeDocument/2006/relationships/hyperlink" Target="https://doi.org/10.1021/bi048877o" TargetMode="External"/><Relationship Id="rId12" Type="http://schemas.openxmlformats.org/officeDocument/2006/relationships/hyperlink" Target="https://doi.org/10.1128/JB.00274-07" TargetMode="External"/><Relationship Id="rId34" Type="http://schemas.openxmlformats.org/officeDocument/2006/relationships/hyperlink" Target="https://doi.org/10.1021/bi048877o" TargetMode="External"/><Relationship Id="rId15" Type="http://schemas.openxmlformats.org/officeDocument/2006/relationships/hyperlink" Target="https://doi.org/10.1111/mmi.13495" TargetMode="External"/><Relationship Id="rId37" Type="http://schemas.openxmlformats.org/officeDocument/2006/relationships/hyperlink" Target="https://doi.org/10.1371/journal.ppat.1009093" TargetMode="External"/><Relationship Id="rId14" Type="http://schemas.openxmlformats.org/officeDocument/2006/relationships/hyperlink" Target="https://doi.org/10.1111/mmi.13495" TargetMode="External"/><Relationship Id="rId36" Type="http://schemas.openxmlformats.org/officeDocument/2006/relationships/hyperlink" Target="https://doi.org/10.1371/journal.ppat.1009093" TargetMode="External"/><Relationship Id="rId17" Type="http://schemas.openxmlformats.org/officeDocument/2006/relationships/hyperlink" Target="https://doi.org/10.1371/journal.ppat.1011098" TargetMode="External"/><Relationship Id="rId16" Type="http://schemas.openxmlformats.org/officeDocument/2006/relationships/hyperlink" Target="https://doi.org/10.1371/journal.ppat.1011098" TargetMode="External"/><Relationship Id="rId19" Type="http://schemas.openxmlformats.org/officeDocument/2006/relationships/hyperlink" Target="https://doi.org/10.1128/IAI.00690-19" TargetMode="External"/><Relationship Id="rId18" Type="http://schemas.openxmlformats.org/officeDocument/2006/relationships/hyperlink" Target="https://doi.org/10.1128/IAI.00690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