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Ciudad Autónoma de Buenos Aires, 04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PROPOSITIVA</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35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Pr>
          <w:rFonts w:eastAsia="Arial" w:cs="Arial" w:ascii="Arial" w:hAnsi="Arial"/>
          <w:b w:val="false"/>
          <w:i w:val="false"/>
          <w:caps w:val="false"/>
          <w:smallCaps w:val="false"/>
          <w:strike w:val="false"/>
          <w:dstrike w:val="false"/>
          <w:color w:val="000000"/>
          <w:position w:val="0"/>
          <w:sz w:val="20"/>
          <w:sz w:val="20"/>
          <w:szCs w:val="20"/>
          <w:highlight w:val="yellow"/>
          <w:u w:val="none"/>
          <w:shd w:fill="auto" w:val="clear"/>
          <w:vertAlign w:val="baseline"/>
        </w:rPr>
        <w:tab/>
        <w:t xml:space="preserve"> </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pStyle w:val="LOnormal"/>
        <w:spacing w:lineRule="auto" w:line="276"/>
        <w:jc w:val="both"/>
        <w:rPr>
          <w:u w:val="single"/>
        </w:rPr>
      </w:pPr>
      <w:r>
        <w:rPr>
          <w:rFonts w:eastAsia="Arial" w:cs="Arial" w:ascii="Arial" w:hAnsi="Arial"/>
          <w:b w:val="false"/>
          <w:position w:val="0"/>
          <w:sz w:val="20"/>
          <w:sz w:val="20"/>
          <w:u w:val="single"/>
          <w:shd w:fill="auto" w:val="clear"/>
          <w:vertAlign w:val="baseline"/>
        </w:rPr>
        <w:t>${motivo_adicional}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b w:val="false"/>
          <w:b w:val="false"/>
          <w:bCs w:val="false"/>
        </w:rPr>
      </w:pPr>
      <w:r>
        <w:rPr>
          <w:rFonts w:eastAsia="Arial" w:cs="Arial" w:ascii="Arial" w:hAnsi="Arial"/>
          <w:b w:val="false"/>
          <w:bCs w:val="false"/>
          <w:position w:val="0"/>
          <w:sz w:val="20"/>
          <w:sz w:val="20"/>
          <w:vertAlign w:val="baseline"/>
        </w:rPr>
        <w:t>${desarrollo_entrevista}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${desarrollo_entrevista}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${niveles_funcionamiento}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b w:val="false"/>
          <w:b w:val="false"/>
          <w:bCs w:val="false"/>
          <w:highlight w:val="none"/>
          <w:shd w:fill="auto" w:val="clear"/>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${historia_personal}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${anteceentes_clinicos}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TEST QUE SE INCLUYEN, INTRO DEL TEST, GRAFÍCO/TABLAS Y 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 xml:space="preserve">. </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INTRO DE CADA TEST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SCL 90 R</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Inventario de síntomas SCL-90-R</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Este inventario ha sido desarrollado para evaluar patrones de síntomas presentes en individuos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INDICES GLOBALES.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1) Índice de Severidad Global (IGS): </w:t>
      </w:r>
      <w:r>
        <w:rPr>
          <w:rFonts w:eastAsia="Arial" w:cs="Arial" w:ascii="Arial" w:hAnsi="Arial"/>
          <w:position w:val="0"/>
          <w:sz w:val="20"/>
          <w:sz w:val="20"/>
          <w:vertAlign w:val="baseline"/>
        </w:rPr>
        <w:t>es un muy buen indicador del nivel actual de la severidad del malestar. Combina el número de síntomas reconocidos como presentes con la intensidad del malestar percibido.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2) Total de síntomas positivos (TSP): </w:t>
      </w:r>
      <w:r>
        <w:rPr>
          <w:rFonts w:eastAsia="Arial" w:cs="Arial" w:ascii="Arial" w:hAnsi="Arial"/>
          <w:position w:val="0"/>
          <w:sz w:val="2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3) Índice de Malestar Sintomático Positivo (IMSP): </w:t>
      </w:r>
      <w:r>
        <w:rPr>
          <w:rFonts w:eastAsia="Arial" w:cs="Arial" w:ascii="Arial" w:hAnsi="Arial"/>
          <w:position w:val="0"/>
          <w:sz w:val="20"/>
          <w:sz w:val="20"/>
          <w:vertAlign w:val="baseline"/>
        </w:rPr>
        <w:t>pretende evaluar el estilo de respuesta indicando si la persona tiende a exagerar o a minimizar los malestares que lo aquejan.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Puntuaciones extremas en este índice también sugieren patrones de respuestas que deben analizarse en términos de actitudes de fingimiento.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LSB 50</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caps w:val="false"/>
          <w:smallCaps w:val="false"/>
          <w:strike w:val="false"/>
          <w:dstrike w:val="false"/>
          <w:color w:val="000000"/>
          <w:position w:val="0"/>
          <w:sz w:val="20"/>
          <w:sz w:val="20"/>
          <w:szCs w:val="20"/>
          <w:u w:val="none"/>
          <w:shd w:fill="auto" w:val="clear"/>
          <w:vertAlign w:val="baseline"/>
        </w:rPr>
        <w:t xml:space="preserve">Listado de Síntomas Breve,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LSB-50</w:t>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El LSB-50 proporciona puntuaciones sobre diversa sintomatología en dos escalas de validez, tres índices generales, nueve escalas y subescalas y un índice de riesgo psicopatológico.</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494" w:type="dxa"/>
        <w:jc w:val="center"/>
        <w:tblInd w:w="0" w:type="dxa"/>
        <w:tblLayout w:type="fixed"/>
        <w:tblCellMar>
          <w:top w:w="0" w:type="dxa"/>
          <w:left w:w="10" w:type="dxa"/>
          <w:bottom w:w="0" w:type="dxa"/>
          <w:right w:w="10" w:type="dxa"/>
        </w:tblCellMar>
        <w:tblLook w:val="0000"/>
      </w:tblPr>
      <w:tblGrid>
        <w:gridCol w:w="1962"/>
        <w:gridCol w:w="6531"/>
      </w:tblGrid>
      <w:tr>
        <w:trPr>
          <w:trHeight w:val="717" w:hRule="atLeast"/>
        </w:trPr>
        <w:tc>
          <w:tcPr>
            <w:tcW w:w="8493" w:type="dxa"/>
            <w:gridSpan w:val="2"/>
            <w:tcBorders>
              <w:top w:val="single" w:sz="8" w:space="0" w:color="FFFFFF"/>
              <w:left w:val="single" w:sz="8" w:space="0" w:color="FFFFFF"/>
              <w:bottom w:val="single" w:sz="8" w:space="0" w:color="FFFFFF"/>
              <w:right w:val="single" w:sz="8" w:space="0" w:color="FFFFFF"/>
            </w:tcBorders>
            <w:shd w:fill="00B9F2" w:val="clear"/>
          </w:tcPr>
          <w:p>
            <w:pPr>
              <w:pStyle w:val="LOnormal"/>
              <w:keepNext w:val="false"/>
              <w:keepLines w:val="false"/>
              <w:widowControl w:val="false"/>
              <w:shd w:val="clear" w:fill="auto"/>
              <w:spacing w:lineRule="auto" w:line="276" w:before="156"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de validez</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detectar posibles sesgos de respuestas que puedan estar afectando a los resultados en la prueba</w:t>
            </w:r>
          </w:p>
        </w:tc>
      </w:tr>
      <w:tr>
        <w:trPr>
          <w:trHeight w:val="717" w:hRule="atLeast"/>
        </w:trPr>
        <w:tc>
          <w:tcPr>
            <w:tcW w:w="1962"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Minimización (Min)</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1"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minimizando la frecuencia o la intensidad de los síntomas que padece. Puede reflejar un intento consciente o inconsciente de dar una imagen falsamente favorable de sí mismo.</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Magnificación (Mag)</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magnificando su sintomatología, puntuando con alta intensidad síntomas relativamente poco frecuentes.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Índices generales</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tener una visión global del nivel de sufrimiento psicopatológico del evaluado</w:t>
            </w:r>
          </w:p>
        </w:tc>
      </w:tr>
      <w:tr>
        <w:trPr>
          <w:trHeight w:val="94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global de severidad (GLOBAL)</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5"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Número de síntomas presentes (NUM)</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el número de síntomas que presenta el evaluado (independientemente de su intensidad), siendo una medida de la extensión de las manifestaciones psicopatológicas.</w:t>
            </w:r>
          </w:p>
        </w:tc>
      </w:tr>
      <w:tr>
        <w:trPr>
          <w:trHeight w:val="77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de intensidad de síntomas presentes (INT)</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4"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y subescalas clínicas</w:t>
            </w:r>
          </w:p>
          <w:p>
            <w:pPr>
              <w:pStyle w:val="LOnormal"/>
              <w:keepNext w:val="false"/>
              <w:keepLines w:val="false"/>
              <w:widowControl w:val="false"/>
              <w:shd w:val="clear" w:fill="auto"/>
              <w:spacing w:lineRule="auto" w:line="276" w:before="22" w:after="0"/>
              <w:ind w:left="80"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Informan del perfil psicopatológico del evaluado, esto es, la forma particular de expresión de la psicopatología</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Psicorreactividad (Pr)</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sensibilidad en la percepción de uno mismo en relación con los demás y en relación a la propia imagen, así como formas de actuar y de pensar con exceso de autoobservación.</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Hipersensibilidad (Hp)</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sensibilidad tanto interpersonal como intrapersonal, es decir, la excesiva focalización, bien en detalles de la relación interpersonal como en la valoración de uno mismo.</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Obsesión-compulsión (Ob)</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obsesiones y dudas continuas que inundan la mente así como la existencia de rituales o compulsiones.</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Ansiedad (An)</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las manifestaciones tanto del trastorno de ansiedad generalizada como de cuadros de pánico y ansiedad fóbica. Incluye además síntomas referidos a un temor o miedo irracional.</w:t>
            </w:r>
          </w:p>
        </w:tc>
      </w:tr>
      <w:tr>
        <w:trPr>
          <w:trHeight w:val="490"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5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Hostilidad (Hs)</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18" w:after="0"/>
              <w:ind w:left="69" w:right="37"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reacciones de pérdida de control emocional con manifestaciones súbitas o continuadas de agresividad, ira, rabia o resentimiento.</w:t>
            </w:r>
          </w:p>
        </w:tc>
      </w:tr>
      <w:tr>
        <w:trPr>
          <w:trHeight w:val="77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Somatización (Sm)</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5" w:after="0"/>
              <w:ind w:left="69" w:right="5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Depresión (De)</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3"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síntomas característicos de la depresión como la tristeza, la desesperanza, la anhedonia, la anergia, la impotencia o la ideación autodestructiva, incluida la culpa.</w:t>
            </w:r>
          </w:p>
        </w:tc>
      </w:tr>
      <w:tr>
        <w:trPr>
          <w:trHeight w:val="490"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9" w:after="0"/>
              <w:ind w:left="69" w:right="9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 (Su)</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18"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específica de alteraciones del sueño que son relevantes desde el punto de vista de la salud y del bienestar.</w:t>
            </w:r>
          </w:p>
        </w:tc>
      </w:tr>
      <w:tr>
        <w:trPr>
          <w:trHeight w:val="1232"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w:t>
            </w:r>
          </w:p>
          <w:p>
            <w:pPr>
              <w:pStyle w:val="LOnormal"/>
              <w:keepNext w:val="false"/>
              <w:keepLines w:val="false"/>
              <w:widowControl w:val="false"/>
              <w:shd w:val="clear" w:fill="auto"/>
              <w:spacing w:lineRule="auto" w:line="276" w:before="32"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ampliada (Su-a)</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84"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hd w:val="clear" w:fill="FFFFFF"/>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 Inventario Estructurado de Simulación de Síntomas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La </w:t>
      </w:r>
      <w:r>
        <w:rPr>
          <w:rFonts w:eastAsia="Arial" w:cs="Arial" w:ascii="Arial" w:hAnsi="Arial"/>
          <w:b/>
          <w:position w:val="0"/>
          <w:sz w:val="20"/>
          <w:sz w:val="20"/>
          <w:vertAlign w:val="baseline"/>
        </w:rPr>
        <w:t>Puntuación Total</w:t>
      </w:r>
      <w:r>
        <w:rPr>
          <w:rFonts w:eastAsia="Arial" w:cs="Arial" w:ascii="Arial" w:hAnsi="Arial"/>
          <w:position w:val="0"/>
          <w:sz w:val="20"/>
          <w:sz w:val="20"/>
          <w:vertAlign w:val="baseline"/>
        </w:rPr>
        <w:t> del </w:t>
      </w:r>
      <w:r>
        <w:rPr>
          <w:rFonts w:eastAsia="Arial" w:cs="Arial" w:ascii="Arial" w:hAnsi="Arial"/>
          <w:b/>
          <w:position w:val="0"/>
          <w:sz w:val="20"/>
          <w:sz w:val="20"/>
          <w:vertAlign w:val="baseline"/>
        </w:rPr>
        <w:t>SIMS</w:t>
      </w:r>
      <w:r>
        <w:rPr>
          <w:rFonts w:eastAsia="Arial" w:cs="Arial" w:ascii="Arial" w:hAnsi="Arial"/>
          <w:position w:val="0"/>
          <w:sz w:val="2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sz w:val="20"/>
          <w:vertAlign w:val="baseline"/>
        </w:rPr>
        <w:t>Psicosis</w:t>
      </w:r>
      <w:r>
        <w:rPr>
          <w:rFonts w:eastAsia="Arial" w:cs="Arial" w:ascii="Arial" w:hAnsi="Arial"/>
          <w:position w:val="0"/>
          <w:sz w:val="20"/>
          <w:sz w:val="20"/>
          <w:vertAlign w:val="baseline"/>
        </w:rPr>
        <w:t xml:space="preserve">, </w:t>
      </w:r>
      <w:r>
        <w:rPr>
          <w:rFonts w:eastAsia="Arial" w:cs="Arial" w:ascii="Arial" w:hAnsi="Arial"/>
          <w:b/>
          <w:position w:val="0"/>
          <w:sz w:val="20"/>
          <w:sz w:val="20"/>
          <w:vertAlign w:val="baseline"/>
        </w:rPr>
        <w:t>Deterioro neurológico</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Trastornos amnésicos</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Baja inteligencia</w:t>
      </w:r>
      <w:r>
        <w:rPr>
          <w:rFonts w:eastAsia="Arial" w:cs="Arial" w:ascii="Arial" w:hAnsi="Arial"/>
          <w:position w:val="0"/>
          <w:sz w:val="20"/>
          <w:sz w:val="20"/>
          <w:vertAlign w:val="baseline"/>
        </w:rPr>
        <w:t> y </w:t>
      </w:r>
      <w:r>
        <w:rPr>
          <w:rFonts w:eastAsia="Arial" w:cs="Arial" w:ascii="Arial" w:hAnsi="Arial"/>
          <w:b/>
          <w:position w:val="0"/>
          <w:sz w:val="20"/>
          <w:sz w:val="20"/>
          <w:vertAlign w:val="baseline"/>
        </w:rPr>
        <w:t>Trastornos afectivos</w:t>
      </w:r>
      <w:r>
        <w:rPr>
          <w:rFonts w:eastAsia="Arial" w:cs="Arial" w:ascii="Arial" w:hAnsi="Arial"/>
          <w:position w:val="0"/>
          <w:sz w:val="2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SCID II</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true"/>
        <w:keepLines w:val="false"/>
        <w:pageBreakBefore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IESL  (el que te aparece como CET)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Fimas . seria bueno que cada evaluador seleccione su firma y se incluya al final del informe</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11">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0">
            <wp:simplePos x="0" y="0"/>
            <wp:positionH relativeFrom="column">
              <wp:posOffset>0</wp:posOffset>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r>
      <w:r>
        <w:drawing>
          <wp:anchor behindDoc="1" distT="0" distB="0" distL="0" distR="0" simplePos="0" locked="0" layoutInCell="0" allowOverlap="1" relativeHeight="27">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8">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9">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4"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0">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2">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3">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4">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5">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6">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TotalTime>
  <Application>LibreOffice/7.3.3.2$Windows_X86_64 LibreOffice_project/d1d0ea68f081ee2800a922cac8f79445e4603348</Application>
  <AppVersion>15.0000</AppVersion>
  <Pages>6</Pages>
  <Words>1318</Words>
  <Characters>7707</Characters>
  <CharactersWithSpaces>8960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2022-06-04T09:18:43Z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