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Ciudad Autónoma de Buenos Aires, 17 de May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b w:val="false"/>
          <w:b w:val="false"/>
          <w:color w:val="000000"/>
          <w:position w:val="0"/>
          <w:sz w:val="20"/>
          <w:sz w:val="20"/>
          <w:highlight w:val="yellow"/>
          <w:vertAlign w:val="baseline"/>
        </w:rPr>
      </w:pPr>
      <w:r>
        <w:rPr>
          <w:rFonts w:eastAsia="Arial" w:cs="Arial" w:ascii="Arial" w:hAnsi="Arial"/>
          <w:b/>
          <w:color w:val="000000"/>
          <w:position w:val="0"/>
          <w:sz w:val="20"/>
          <w:sz w:val="20"/>
          <w:highlight w:val="yellow"/>
          <w:vertAlign w:val="baseline"/>
        </w:rPr>
        <w:t xml:space="preserve">Sres. </w:t>
      </w:r>
      <w:r>
        <w:rPr>
          <w:rFonts w:eastAsia="Arial" w:cs="Arial" w:ascii="Arial" w:hAnsi="Arial"/>
          <w:b w:val="false"/>
          <w:color w:val="000000"/>
          <w:position w:val="0"/>
          <w:sz w:val="20"/>
          <w:sz w:val="20"/>
          <w:highlight w:val="yellow"/>
          <w:vertAlign w:val="baseline"/>
        </w:rPr>
        <w:t>PROPOSITIVA</w:t>
      </w:r>
    </w:p>
    <w:p>
      <w:pPr>
        <w:pStyle w:val="LOnormal"/>
        <w:spacing w:lineRule="auto" w:line="276" w:before="36" w:after="36"/>
        <w:jc w:val="both"/>
        <w:rPr>
          <w:rFonts w:ascii="Arial" w:hAnsi="Arial" w:eastAsia="Arial" w:cs="Arial"/>
          <w:b w:val="false"/>
          <w:b w:val="false"/>
          <w:color w:val="000000"/>
          <w:position w:val="0"/>
          <w:sz w:val="20"/>
          <w:sz w:val="20"/>
          <w:vertAlign w:val="baseline"/>
        </w:rPr>
      </w:pPr>
      <w:r>
        <w:rPr>
          <w:rFonts w:eastAsia="Arial" w:cs="Arial" w:ascii="Arial" w:hAnsi="Arial"/>
          <w:b/>
          <w:color w:val="000000"/>
          <w:position w:val="0"/>
          <w:sz w:val="20"/>
          <w:sz w:val="20"/>
          <w:highlight w:val="yellow"/>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highlight w:val="yellow"/>
          <w:vertAlign w:val="baseline"/>
        </w:rPr>
        <w:t>Jorge Fernando Matricali</w:t>
      </w:r>
      <w:r>
        <w:rPr>
          <w:rFonts w:eastAsia="Arial" w:cs="Arial" w:ascii="Arial" w:hAnsi="Arial"/>
          <w:position w:val="0"/>
          <w:sz w:val="20"/>
          <w:sz w:val="20"/>
          <w:vertAlign w:val="baseline"/>
        </w:rPr>
        <w:t xml:space="preserve"> de </w:t>
      </w:r>
      <w:r>
        <w:rPr>
          <w:rFonts w:eastAsia="Arial" w:cs="Arial" w:ascii="Arial" w:hAnsi="Arial"/>
          <w:position w:val="0"/>
          <w:sz w:val="20"/>
          <w:sz w:val="20"/>
          <w:vertAlign w:val="baseline"/>
        </w:rPr>
        <w:t xml:space="preserve">35 </w:t>
      </w:r>
      <w:r>
        <w:rPr>
          <w:rFonts w:eastAsia="Arial" w:cs="Arial" w:ascii="Arial" w:hAnsi="Arial"/>
          <w:position w:val="0"/>
          <w:sz w:val="20"/>
          <w:sz w:val="20"/>
          <w:vertAlign w:val="baseline"/>
        </w:rPr>
        <w:t xml:space="preserve">años, quien informa DNI </w:t>
      </w:r>
      <w:r>
        <w:rPr>
          <w:rFonts w:eastAsia="Arial" w:cs="Arial" w:ascii="Arial" w:hAnsi="Arial"/>
          <w:position w:val="0"/>
          <w:sz w:val="20"/>
          <w:sz w:val="20"/>
          <w:vertAlign w:val="baseline"/>
        </w:rPr>
        <w:t>35.201.786</w:t>
      </w:r>
      <w:r>
        <w:rPr>
          <w:rFonts w:eastAsia="Arial" w:cs="Arial" w:ascii="Arial" w:hAnsi="Arial"/>
          <w:position w:val="0"/>
          <w:sz w:val="20"/>
          <w:sz w:val="20"/>
          <w:vertAlign w:val="baseline"/>
        </w:rPr>
        <w:t>.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highlight w:val="yellow"/>
          <w:vertAlign w:val="baseline"/>
        </w:rPr>
        <w:t>Jorge Fernando Matricali</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CUADRO DE TEXTO PARA ESCRIBIR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LOS DATOS</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TEST QUE SE INCLUYEN, INTRO DEL TEST, GRAFÍCO/TABLAS Y CONCLUSIONES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 xml:space="preserve">. </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INTRO DE CADA TEST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SCL 90 R</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Inventario de síntomas SCL-90-R</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Este inventario ha sido desarrollado para evaluar patrones de síntomas presentes en individuos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INDICES GLOBALES.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1) Índice de Severidad Global (IGS): </w:t>
      </w:r>
      <w:r>
        <w:rPr>
          <w:rFonts w:eastAsia="Arial" w:cs="Arial" w:ascii="Arial" w:hAnsi="Arial"/>
          <w:position w:val="0"/>
          <w:sz w:val="20"/>
          <w:sz w:val="20"/>
          <w:vertAlign w:val="baseline"/>
        </w:rPr>
        <w:t>es un muy buen indicador del nivel actual de la severidad del malestar. Combina el número de síntomas reconocidos como presentes con la intensidad del malestar percibido.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2) Total de síntomas positivos (TSP): </w:t>
      </w:r>
      <w:r>
        <w:rPr>
          <w:rFonts w:eastAsia="Arial" w:cs="Arial" w:ascii="Arial" w:hAnsi="Arial"/>
          <w:position w:val="0"/>
          <w:sz w:val="20"/>
          <w:sz w:val="20"/>
          <w:vertAlign w:val="baseline"/>
        </w:rPr>
        <w:t>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3) Índice de Malestar Sintomático Positivo (IMSP): </w:t>
      </w:r>
      <w:r>
        <w:rPr>
          <w:rFonts w:eastAsia="Arial" w:cs="Arial" w:ascii="Arial" w:hAnsi="Arial"/>
          <w:position w:val="0"/>
          <w:sz w:val="20"/>
          <w:sz w:val="20"/>
          <w:vertAlign w:val="baseline"/>
        </w:rPr>
        <w:t>pretende evaluar el estilo de respuesta indicando si la persona tiende a exagerar o a minimizar los malestares que lo aquejan.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Puntuaciones extremas en este índice también sugieren patrones de respuestas que deben analizarse en términos de actitudes de fingimiento.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En el Manual en el original inglés de la prueba se consignan estudios sobre su Validez Estructural y Convergente así como acerca de su consistencia interna y fiabilidad test-retest. (Derogatis, 1994. Minnesota. National Computer System).</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LSB 50</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caps w:val="false"/>
          <w:smallCaps w:val="false"/>
          <w:strike w:val="false"/>
          <w:dstrike w:val="false"/>
          <w:color w:val="000000"/>
          <w:position w:val="0"/>
          <w:sz w:val="20"/>
          <w:sz w:val="20"/>
          <w:szCs w:val="20"/>
          <w:u w:val="none"/>
          <w:shd w:fill="auto" w:val="clear"/>
          <w:vertAlign w:val="baseline"/>
        </w:rPr>
        <w:t xml:space="preserve">Listado de Síntomas Breve,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LSB-50</w:t>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El LSB-50 proporciona puntuaciones sobre diversa sintomatología en dos escalas de validez, tres índices generales, nueve escalas y subescalas y un índice de riesgo psicopatológico.</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494" w:type="dxa"/>
        <w:jc w:val="center"/>
        <w:tblInd w:w="0" w:type="dxa"/>
        <w:tblLayout w:type="fixed"/>
        <w:tblCellMar>
          <w:top w:w="0" w:type="dxa"/>
          <w:left w:w="10" w:type="dxa"/>
          <w:bottom w:w="0" w:type="dxa"/>
          <w:right w:w="10" w:type="dxa"/>
        </w:tblCellMar>
        <w:tblLook w:val="0000"/>
      </w:tblPr>
      <w:tblGrid>
        <w:gridCol w:w="1963"/>
        <w:gridCol w:w="6530"/>
      </w:tblGrid>
      <w:tr>
        <w:trPr>
          <w:trHeight w:val="717" w:hRule="atLeast"/>
        </w:trPr>
        <w:tc>
          <w:tcPr>
            <w:tcW w:w="8493" w:type="dxa"/>
            <w:gridSpan w:val="2"/>
            <w:tcBorders>
              <w:top w:val="single" w:sz="8" w:space="0" w:color="FFFFFF"/>
              <w:left w:val="single" w:sz="8" w:space="0" w:color="FFFFFF"/>
              <w:bottom w:val="single" w:sz="8" w:space="0" w:color="FFFFFF"/>
              <w:right w:val="single" w:sz="8" w:space="0" w:color="FFFFFF"/>
            </w:tcBorders>
            <w:shd w:fill="00B9F2" w:val="clear"/>
          </w:tcPr>
          <w:p>
            <w:pPr>
              <w:pStyle w:val="LOnormal"/>
              <w:keepNext w:val="false"/>
              <w:keepLines w:val="false"/>
              <w:widowControl w:val="false"/>
              <w:shd w:val="clear" w:fill="auto"/>
              <w:spacing w:lineRule="auto" w:line="276" w:before="156"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de validez</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detectar posibles sesgos de respuestas que puedan estar afectando a los resultados en la prueba</w:t>
            </w:r>
          </w:p>
        </w:tc>
      </w:tr>
      <w:tr>
        <w:trPr>
          <w:trHeight w:val="717" w:hRule="atLeast"/>
        </w:trPr>
        <w:tc>
          <w:tcPr>
            <w:tcW w:w="1963"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Minimización (Min)</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1"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minimizando la frecuencia o la intensidad de los síntomas que padece. Puede reflejar un intento consciente o inconsciente de dar una imagen falsamente favorable de sí mismo.</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Magnificación (Mag)</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magnificando su sintomatología, puntuando con alta intensidad síntomas relativamente poco frecuentes.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Índices generales</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tener una visión global del nivel de sufrimiento psicopatológico del evaluado</w:t>
            </w:r>
          </w:p>
        </w:tc>
      </w:tr>
      <w:tr>
        <w:trPr>
          <w:trHeight w:val="943"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global de severidad (GLOBAL)</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5"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Número de síntomas presentes (NUM)</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el número de síntomas que presenta el evaluado (independientemente de su intensidad), siendo una medida de la extensión de las manifestaciones psicopatológicas.</w:t>
            </w:r>
          </w:p>
        </w:tc>
      </w:tr>
      <w:tr>
        <w:trPr>
          <w:trHeight w:val="773"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de intensidad de síntomas presentes (INT)</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4"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y subescalas clínicas</w:t>
            </w:r>
          </w:p>
          <w:p>
            <w:pPr>
              <w:pStyle w:val="LOnormal"/>
              <w:keepNext w:val="false"/>
              <w:keepLines w:val="false"/>
              <w:widowControl w:val="false"/>
              <w:shd w:val="clear" w:fill="auto"/>
              <w:spacing w:lineRule="auto" w:line="276" w:before="22" w:after="0"/>
              <w:ind w:left="80"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Informan del perfil psicopatológico del evaluado, esto es, la forma particular de expresión de la psicopatología</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Psicorreactividad (Pr)</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sensibilidad en la percepción de uno mismo en relación con los demás y en relación a la propia imagen, así como formas de actuar y de pensar con exceso de autoobservación.</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Hipersensibilidad (Hp)</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sensibilidad tanto interpersonal como intrapersonal, es decir, la excesiva focalización, bien en detalles de la relación interpersonal como en la valoración de uno mismo.</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Obsesión-compulsión (Ob)</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obsesiones y dudas continuas que inundan la mente así como la existencia de rituales o compulsiones.</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Ansiedad (An)</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las manifestaciones tanto del trastorno de ansiedad generalizada como de cuadros de pánico y ansiedad fóbica. Incluye además síntomas referidos a un temor o miedo irracional.</w:t>
            </w:r>
          </w:p>
        </w:tc>
      </w:tr>
      <w:tr>
        <w:trPr>
          <w:trHeight w:val="490"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5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Hostilidad (Hs)</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18" w:after="0"/>
              <w:ind w:left="69" w:right="37"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reacciones de pérdida de control emocional con manifestaciones súbitas o continuadas de agresividad, ira, rabia o resentimiento.</w:t>
            </w:r>
          </w:p>
        </w:tc>
      </w:tr>
      <w:tr>
        <w:trPr>
          <w:trHeight w:val="773"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Somatización (Sm)</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5" w:after="0"/>
              <w:ind w:left="69" w:right="5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Depresión (De)</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3"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síntomas característicos de la depresión como la tristeza, la desesperanza, la anhedonia, la anergia, la impotencia o la ideación autodestructiva, incluida la culpa.</w:t>
            </w:r>
          </w:p>
        </w:tc>
      </w:tr>
      <w:tr>
        <w:trPr>
          <w:trHeight w:val="490"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9" w:after="0"/>
              <w:ind w:left="69" w:right="9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 (Su)</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18"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específica de alteraciones del sueño que son relevantes desde el punto de vista de la salud y del bienestar.</w:t>
            </w:r>
          </w:p>
        </w:tc>
      </w:tr>
      <w:tr>
        <w:trPr>
          <w:trHeight w:val="1232"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w:t>
            </w:r>
          </w:p>
          <w:p>
            <w:pPr>
              <w:pStyle w:val="LOnormal"/>
              <w:keepNext w:val="false"/>
              <w:keepLines w:val="false"/>
              <w:widowControl w:val="false"/>
              <w:shd w:val="clear" w:fill="auto"/>
              <w:spacing w:lineRule="auto" w:line="276" w:before="32"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ampliada (Su-a)</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84"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hd w:val="clear" w:fill="FFFFFF"/>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 Inventario Estructurado de Simulación de Síntomas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La </w:t>
      </w:r>
      <w:r>
        <w:rPr>
          <w:rFonts w:eastAsia="Arial" w:cs="Arial" w:ascii="Arial" w:hAnsi="Arial"/>
          <w:b/>
          <w:position w:val="0"/>
          <w:sz w:val="20"/>
          <w:sz w:val="20"/>
          <w:vertAlign w:val="baseline"/>
        </w:rPr>
        <w:t>Puntuación Total</w:t>
      </w:r>
      <w:r>
        <w:rPr>
          <w:rFonts w:eastAsia="Arial" w:cs="Arial" w:ascii="Arial" w:hAnsi="Arial"/>
          <w:position w:val="0"/>
          <w:sz w:val="20"/>
          <w:sz w:val="20"/>
          <w:vertAlign w:val="baseline"/>
        </w:rPr>
        <w:t> del </w:t>
      </w:r>
      <w:r>
        <w:rPr>
          <w:rFonts w:eastAsia="Arial" w:cs="Arial" w:ascii="Arial" w:hAnsi="Arial"/>
          <w:b/>
          <w:position w:val="0"/>
          <w:sz w:val="20"/>
          <w:sz w:val="20"/>
          <w:vertAlign w:val="baseline"/>
        </w:rPr>
        <w:t>SIMS</w:t>
      </w:r>
      <w:r>
        <w:rPr>
          <w:rFonts w:eastAsia="Arial" w:cs="Arial" w:ascii="Arial" w:hAnsi="Arial"/>
          <w:position w:val="0"/>
          <w:sz w:val="20"/>
          <w:sz w:val="20"/>
          <w:vertAlign w:val="baseline"/>
        </w:rPr>
        <w:t> permite establecer la sospecha de simulación. Posteriormente, el análisis de las elevaciones en las puntuaciones de las escalas que lo componen (</w:t>
      </w:r>
      <w:r>
        <w:rPr>
          <w:rFonts w:eastAsia="Arial" w:cs="Arial" w:ascii="Arial" w:hAnsi="Arial"/>
          <w:b/>
          <w:position w:val="0"/>
          <w:sz w:val="20"/>
          <w:sz w:val="20"/>
          <w:vertAlign w:val="baseline"/>
        </w:rPr>
        <w:t>Psicosis</w:t>
      </w:r>
      <w:r>
        <w:rPr>
          <w:rFonts w:eastAsia="Arial" w:cs="Arial" w:ascii="Arial" w:hAnsi="Arial"/>
          <w:position w:val="0"/>
          <w:sz w:val="20"/>
          <w:sz w:val="20"/>
          <w:vertAlign w:val="baseline"/>
        </w:rPr>
        <w:t xml:space="preserve">, </w:t>
      </w:r>
      <w:r>
        <w:rPr>
          <w:rFonts w:eastAsia="Arial" w:cs="Arial" w:ascii="Arial" w:hAnsi="Arial"/>
          <w:b/>
          <w:position w:val="0"/>
          <w:sz w:val="20"/>
          <w:sz w:val="20"/>
          <w:vertAlign w:val="baseline"/>
        </w:rPr>
        <w:t>Deterioro neurológico</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Trastornos amnésicos</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Baja inteligencia</w:t>
      </w:r>
      <w:r>
        <w:rPr>
          <w:rFonts w:eastAsia="Arial" w:cs="Arial" w:ascii="Arial" w:hAnsi="Arial"/>
          <w:position w:val="0"/>
          <w:sz w:val="20"/>
          <w:sz w:val="20"/>
          <w:vertAlign w:val="baseline"/>
        </w:rPr>
        <w:t> y </w:t>
      </w:r>
      <w:r>
        <w:rPr>
          <w:rFonts w:eastAsia="Arial" w:cs="Arial" w:ascii="Arial" w:hAnsi="Arial"/>
          <w:b/>
          <w:position w:val="0"/>
          <w:sz w:val="20"/>
          <w:sz w:val="20"/>
          <w:vertAlign w:val="baseline"/>
        </w:rPr>
        <w:t>Trastornos afectivos</w:t>
      </w:r>
      <w:r>
        <w:rPr>
          <w:rFonts w:eastAsia="Arial" w:cs="Arial" w:ascii="Arial" w:hAnsi="Arial"/>
          <w:position w:val="0"/>
          <w:sz w:val="20"/>
          <w:sz w:val="20"/>
          <w:vertAlign w:val="baseline"/>
        </w:rPr>
        <w:t>)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SCID II</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true"/>
        <w:keepLines w:val="false"/>
        <w:pageBreakBefore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IESL  (el que te aparece como CET)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Fimas . seria bueno que cada evaluador seleccione su firma y se incluya al final del informe</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drawing>
          <wp:anchor behindDoc="1" distT="0" distB="0" distL="0" distR="0" simplePos="0" locked="0" layoutInCell="0" allowOverlap="1" relativeHeight="11">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0">
            <wp:simplePos x="0" y="0"/>
            <wp:positionH relativeFrom="column">
              <wp:posOffset>0</wp:posOffset>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LOnormal"/>
        <w:spacing w:lineRule="auto" w:line="276"/>
        <w:rPr>
          <w:position w:val="0"/>
          <w:sz w:val="2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r>
      <w:r>
        <w:drawing>
          <wp:anchor behindDoc="1" distT="0" distB="0" distL="0" distR="0" simplePos="0" locked="0" layoutInCell="0" allowOverlap="1" relativeHeight="27">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8">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9">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4"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rPr>
          <w:rFonts w:ascii="Arial" w:hAnsi="Arial" w:eastAsia="Arial" w:cs="Arial"/>
          <w:position w:val="0"/>
          <w:sz w:val="20"/>
          <w:sz w:val="20"/>
          <w:vertAlign w:val="baseline"/>
        </w:rPr>
      </w:pPr>
      <w:r>
        <w:rPr/>
        <w:drawing>
          <wp:anchor behindDoc="1" distT="0" distB="0" distL="0" distR="0" simplePos="0" locked="0" layoutInCell="0" allowOverlap="1" relativeHeight="12">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0">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2">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3">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4">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5">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6">
            <wp:simplePos x="0" y="0"/>
            <wp:positionH relativeFrom="column">
              <wp:posOffset>3657600</wp:posOffset>
            </wp:positionH>
            <wp:positionV relativeFrom="paragraph">
              <wp:posOffset>8766810</wp:posOffset>
            </wp:positionV>
            <wp:extent cx="2651760" cy="1993265"/>
            <wp:effectExtent l="0" t="0" r="0" b="0"/>
            <wp:wrapNone/>
            <wp:docPr id="2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8"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LibreOffice/7.3.3.2$Windows_X86_64 LibreOffice_project/d1d0ea68f081ee2800a922cac8f79445e4603348</Application>
  <AppVersion>15.0000</AppVersion>
  <Pages>6</Pages>
  <Words>1347</Words>
  <Characters>7740</Characters>
  <CharactersWithSpaces>9021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2022-05-17T14:37:48Z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