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media/image_rId25_document.png" ContentType="image/png"/>
  <Override PartName="/word/media/image_rId26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DLA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color w:val="auto"/>
          <w:kern w:val="0"/>
          <w:position w:val="0"/>
          <w:sz w:val="20"/>
          <w:sz w:val="20"/>
          <w:szCs w:val="20"/>
          <w:highlight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Matricali.</w:t>
      </w:r>
    </w:p>
    <w:p>
      <w:pPr/>
      <w:r>
        <w:rPr/>
        <w:t xml:space="preserve">motivo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/>
      <w:r>
        <w:rPr/>
        <w:t xml:space="preserve">desarrollo de la entrevista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/>
      <w:r>
        <w:rPr/>
        <w:t xml:space="preserve">historia de la enfermedad actual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/>
      <w:r>
        <w:rPr/>
        <w:t xml:space="preserve">niveles de funcionamiento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/>
      <w:r>
        <w:rPr/>
        <w:t xml:space="preserve">datos pertinentes de su historia personal y social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/>
      <w:r>
        <w:rPr/>
        <w:t xml:space="preserve">antecedentes clinicos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center"/>
        <w:rPr>
          <w:highlight w:val="none"/>
          <w:u w:val="none"/>
          <w:shd w:fill="auto" w:val="clear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shd w:fill="auto" w:val="clear"/>
          <w:vertAlign w:val="baseline"/>
        </w:rPr>
        <w:t>${grafico}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highlight w:val="none"/>
          <w:u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/>
      <w:r>
        <w:rPr/>
        <w:t xml:space="preserve">exploracion psicopatologica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 - Trastornos Mentales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 - Trastornos de la Personalidad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III - Enfermedades médicas</w:t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IV - Problemas Socio-ambientales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>Eje V - Escala Valoración Global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/>
      <w:r>
        <w:rPr>
          <w:b w:val="1"/>
          <w:bCs w:val="1"/>
        </w:rPr>
        <w:t xml:space="preserve">Consideraciones Laborales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171.90721649485px;height:200px" stroked="f">
            <v:imagedata r:id="rId25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91.05263157895px" stroked="f">
            <v:imagedata r:id="rId26" o:title=""/>
          </v:shape>
        </w:pict>
        <w:t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image" Target="media/image_rId25_document.png"/><Relationship Id="rId26" Type="http://schemas.openxmlformats.org/officeDocument/2006/relationships/image" Target="media/image_rId26_document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LibreOffice/7.3.3.2$Windows_X86_64 LibreOffice_project/d1d0ea68f081ee2800a922cac8f79445e4603348</Application>
  <AppVersion>15.0000</AppVersion>
  <Pages>2</Pages>
  <Words>184</Words>
  <Characters>1378</Characters>
  <CharactersWithSpaces>1541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2022-06-04T16:59:48Z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