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1000000" cy="10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