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Mulchén, {{FECHA}}.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Atendido que el plazo para la remisión del informe de avance pertinente se encuentra vencido y teniendo presente las facultades oficiosas del Tribunal contempladas en el artículo 13 de la Ley 19.968, se resuelve: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 xml:space="preserve">Pídase cuenta al organismo interventor, </w:t>
      </w:r>
      <w:r>
        <w:rPr>
          <w:rFonts w:ascii="Arial" w:hAnsi="Arial"/>
          <w:b/>
          <w:i w:val="0"/>
          <w:sz w:val="24"/>
        </w:rPr>
        <w:t>{{PROGRAMA}}</w:t>
      </w:r>
      <w:r>
        <w:rPr>
          <w:rFonts w:ascii="Arial" w:hAnsi="Arial"/>
          <w:b w:val="0"/>
          <w:i w:val="0"/>
          <w:sz w:val="24"/>
        </w:rPr>
        <w:t xml:space="preserve">, a fin de dar estricto cumplimiento a lo ordenado en la presente causa, en cuanto a la remisión del informe de cumplimiento, correspondiente a </w:t>
      </w:r>
      <w:r>
        <w:rPr>
          <w:rFonts w:ascii="Arial" w:hAnsi="Arial"/>
          <w:b/>
          <w:i w:val="0"/>
          <w:sz w:val="24"/>
        </w:rPr>
        <w:t>{{NOMBRE}}</w:t>
      </w:r>
      <w:r>
        <w:rPr>
          <w:rFonts w:ascii="Arial" w:hAnsi="Arial"/>
          <w:b w:val="0"/>
          <w:i w:val="0"/>
          <w:sz w:val="24"/>
        </w:rPr>
        <w:t xml:space="preserve">, cédula de identidad N° </w:t>
      </w:r>
      <w:r>
        <w:rPr>
          <w:rFonts w:ascii="Arial" w:hAnsi="Arial"/>
          <w:b/>
          <w:i w:val="0"/>
          <w:sz w:val="24"/>
        </w:rPr>
        <w:t>{{RUT}}</w:t>
      </w:r>
      <w:r>
        <w:rPr>
          <w:rFonts w:ascii="Arial" w:hAnsi="Arial"/>
          <w:b w:val="0"/>
          <w:i w:val="0"/>
          <w:sz w:val="24"/>
        </w:rPr>
        <w:t>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Profesionales de dicho programa, deberán remitir dicho informe y dar cumplimiento en el término de 5 días desde su notificación o solicitar una prórroga para su entrega en caso de ser necesario.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Notifíquese la presente resolución por correo electrónico al programa interventor.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Sirva la presente resolución de suficiente y atento oficio remisor.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RIT: {{RIT}}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Se proveyó y firmó mediante firma electrónica avanzada, según lo dispuesto en la ley 20.886 y acta 71-2016 de la Excelentísima Corte Suprema.</w:t>
      </w: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En Mulchén, {{FECHA}}, notifiqué por el estado diario la resolución precedente.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cs="Arial"/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