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Mulchén, {{FECHA}}.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/>
          <w:sz w:val="24"/>
        </w:rPr>
        <w:t>Advirtiendo el Tribunal que se omitió la incorporación de la nomenclatura "</w:t>
      </w:r>
      <w:r>
        <w:rPr>
          <w:rFonts w:ascii="Arial" w:hAnsi="Arial"/>
          <w:b/>
          <w:i/>
          <w:sz w:val="24"/>
        </w:rPr>
        <w:t>{{NOMENCLATURA}}</w:t>
      </w:r>
      <w:r>
        <w:rPr>
          <w:rFonts w:ascii="Arial" w:hAnsi="Arial"/>
          <w:b w:val="0"/>
          <w:i/>
          <w:sz w:val="24"/>
        </w:rPr>
        <w:t>", aplíquese a la presente resolución para efectos de regularizar el correcto registro en el sistema de tramitación de causas.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RIT: {{RIT}}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Se proveyó y firmó mediante firma electrónica avanzada, según lo dispuesto en la ley 20.886 y acta 71-2016 de la Excelentísima Corte Suprema.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Mulchén, {{FECHA}}, notifiqué por el estado diario la resolución precedente.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