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Mulchén, {{FECHA}}.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 xml:space="preserve">Advirtiendo el Tribunal que con fecha </w:t>
      </w:r>
      <w:r>
        <w:rPr>
          <w:rFonts w:ascii="Arial" w:hAnsi="Arial"/>
          <w:b/>
          <w:i w:val="0"/>
          <w:sz w:val="24"/>
        </w:rPr>
        <w:t>{{FECHA_RESOLUCION}}</w:t>
      </w:r>
      <w:r>
        <w:rPr>
          <w:rFonts w:ascii="Arial" w:hAnsi="Arial"/>
          <w:b w:val="0"/>
          <w:i w:val="0"/>
          <w:sz w:val="24"/>
        </w:rPr>
        <w:t xml:space="preserve"> se ordenó el ingreso de </w:t>
      </w:r>
      <w:r>
        <w:rPr>
          <w:rFonts w:ascii="Arial" w:hAnsi="Arial"/>
          <w:b/>
          <w:i w:val="0"/>
          <w:sz w:val="24"/>
        </w:rPr>
        <w:t>{{NOMBRE}}</w:t>
      </w:r>
      <w:r>
        <w:rPr>
          <w:rFonts w:ascii="Arial" w:hAnsi="Arial"/>
          <w:b w:val="0"/>
          <w:i w:val="0"/>
          <w:sz w:val="24"/>
        </w:rPr>
        <w:t xml:space="preserve">, cédula de identidad N° </w:t>
      </w:r>
      <w:r>
        <w:rPr>
          <w:rFonts w:ascii="Arial" w:hAnsi="Arial"/>
          <w:b/>
          <w:i w:val="0"/>
          <w:sz w:val="24"/>
        </w:rPr>
        <w:t>{{RUT}}</w:t>
      </w:r>
      <w:r>
        <w:rPr>
          <w:rFonts w:ascii="Arial" w:hAnsi="Arial"/>
          <w:b w:val="0"/>
          <w:i w:val="0"/>
          <w:sz w:val="24"/>
        </w:rPr>
        <w:t xml:space="preserve"> a </w:t>
      </w:r>
      <w:r>
        <w:rPr>
          <w:rFonts w:ascii="Arial" w:hAnsi="Arial"/>
          <w:b/>
          <w:i w:val="0"/>
          <w:sz w:val="24"/>
        </w:rPr>
        <w:t>{{PROGRAMA}}</w:t>
      </w:r>
      <w:r>
        <w:rPr>
          <w:rFonts w:ascii="Arial" w:hAnsi="Arial"/>
          <w:b w:val="0"/>
          <w:i w:val="0"/>
          <w:sz w:val="24"/>
        </w:rPr>
        <w:t xml:space="preserve"> por el plazo de </w:t>
      </w:r>
      <w:r>
        <w:rPr>
          <w:rFonts w:ascii="Arial" w:hAnsi="Arial"/>
          <w:b/>
          <w:i w:val="0"/>
          <w:sz w:val="24"/>
        </w:rPr>
        <w:t>{{DURACION}}</w:t>
      </w:r>
      <w:r>
        <w:rPr>
          <w:rFonts w:ascii="Arial" w:hAnsi="Arial"/>
          <w:b w:val="0"/>
          <w:i w:val="0"/>
          <w:sz w:val="24"/>
        </w:rPr>
        <w:t>, no constando en la carpeta digital el ingreso efectivo de la persona aludida a la institución, pídase cuenta al programa para que informe con carácter de urgente, en el plazo de 5 días, bajo apercibimiento del artículo 238 del Código de Procedimiento Civil, si se efectuó el ingreso del niño sujeto de protección y, en la afirmativa, su fecha.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Notifíquese al programa interventor por correo electrónico.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Sirva la presente resolución como suficiente y atento oficio remisor.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RIT: {{RIT}}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Se proveyó y firmó mediante firma electrónica avanzada, según lo dispuesto en la ley 20.886 y acta 71-2016 de la Excelentísima Corte Suprema.</w:t>
      </w: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Mulchén, {{FECHA}}, notifiqué por el estado diario la resolución precedente.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cs="Arial"/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