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2E74B5"/>
          <w:sz w:val="20"/>
        </w:rPr>
        <w:t>REGISTRO DE PROCESO</w:t>
      </w:r>
    </w:p>
    <w:p>
      <w:pPr>
        <w:spacing w:after="80"/>
      </w:pPr>
      <w:r>
        <w:rPr>
          <w:rFonts w:ascii="Calibri" w:hAnsi="Calibri"/>
          <w:b/>
          <w:color w:val="1F4D78"/>
          <w:sz w:val="48"/>
        </w:rPr>
        <w:t>Etiquetas utilizadas durante la ejecución de NuRus</w:t>
      </w:r>
    </w:p>
    <w:p>
      <w:pPr>
        <w:pStyle w:val="Subtitle"/>
      </w:pPr>
      <w:r>
        <w:rPr>
          <w:color w:val="536476"/>
        </w:rPr>
        <w:t>Fecha de cierre: 8 de septiembre de 2026 · Proyecto: MatiGaete2023/NuRus</w:t>
      </w:r>
    </w:p>
    <w:p>
      <w:pPr>
        <w:pStyle w:val="Heading1"/>
      </w:pPr>
      <w:r>
        <w:t>1. Propósito y límite del registro</w:t>
      </w:r>
    </w:p>
    <w:p>
      <w:r>
        <w:t>Este documento reconstruye las etiquetas visibles utilizadas para organizar la revisión y ejecución del proyecto. Registra qué significó cada etiqueta, cuándo se aplicó y qué evidencia la respaldó. No reproduce razonamiento privado ni pretende convertir inferencias internas en hechos.</w:t>
      </w:r>
    </w:p>
    <w:p>
      <w:r>
        <w:t>La revisión se concentró en la base local de NuRus, sus pruebas, la publicación en GitHub y las limitaciones de Outlook/Windows. Los archivos originales de referencia no fueron sobrescritos.</w:t>
      </w:r>
    </w:p>
    <w:p>
      <w:pPr>
        <w:pStyle w:val="Heading1"/>
      </w:pPr>
      <w:r>
        <w:t>2. Etiquetas globales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20"/>
              </w:rPr>
              <w:t>Etiqueta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20"/>
              </w:rPr>
              <w:t>Función aplicada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20"/>
              </w:rPr>
              <w:t>Ejemplo verificable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[GLOBAL]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Marca una decisión transversal que afecta el encuadre completo del trabajo.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Se definió el flujo Cargar → Revisar → Generar y la separación entre dominio, persistencia, interfaz y Outlook.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[COMPROBADO]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Indica un resultado respaldado por una prueba, inspección o publicación confirmada.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La suite final de NuRus pasó 4/4 pruebas y el commit quedó publicado en main.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[IMPLEMENTADO]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Indica que una parte fue convertida en código o documentación ejecutable.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Se implementaron SQLite, editor de plantillas, validación de variables e historial.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[PUBLICADO]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Indica que el cambio fue escrito en el repositorio remoto.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Se publicaron los commits de inicialización, base unificada e historial.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[LIMITACIÓN]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Distingue una capacidad aún no acreditada o fuera del entorno disponible.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No se acreditó ejecución en Outlook clásico real ni lectura completa de Excel institucional.</w:t>
            </w:r>
          </w:p>
        </w:tc>
      </w:tr>
    </w:tbl>
    <w:p>
      <w:pPr>
        <w:pStyle w:val="Heading1"/>
      </w:pPr>
      <w:r>
        <w:t>3. Etiquetas de atención</w:t>
      </w:r>
    </w:p>
    <w:p>
      <w:r>
        <w:t>Estas etiquetas dirigieron la concentración hacia riesgos, dependencias o asuntos que no debían confundirse con resultados confirmados.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20"/>
              </w:rPr>
              <w:t>Etiqueta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20"/>
              </w:rPr>
              <w:t>Qué debía captar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20"/>
              </w:rPr>
              <w:t>Resultado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[ATENCIÓN]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Prioriza el tramo crítico y evita dispersarse en información secundaria.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Se usó para centrar la revisión en publicar, probar y no simular compatibilidad Windows/Outlook.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[CONFLICTO_ABIERTO]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Señala una contradicción que exige una fuente o decisión institucional.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Quedaron abiertos CC/adjuntos, bloqueo por fila/lote y catálogo jurídico de resoluciones.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[REVISIÓN]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Anuncia la comprobación que se ejecutará a continuación.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Se utilizó antes de inspeccionar repositorio, pruebas, estructura, render y matriz de cierre.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[PRÓXIMA ACCIÓN]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Reduce el plan a un siguiente paso concreto y ejecutable.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Migrar lectores y reglas RUS al nuevo flujo, conservando hoja, fila y hash.</w:t>
            </w:r>
          </w:p>
        </w:tc>
      </w:tr>
    </w:tbl>
    <w:p>
      <w:pPr>
        <w:pStyle w:val="Heading1"/>
      </w:pPr>
      <w:r>
        <w:t>4. Etiquetas locales de evidencia y avance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20"/>
              </w:rPr>
              <w:t>Etiqueta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20"/>
              </w:rPr>
              <w:t>Uso local en la ejecución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20"/>
              </w:rPr>
              <w:t>Evidencia asociada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[LOCAL]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Delimita el material disponible en el espacio de trabajo o el entorno de pruebas.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Código NuRus, datos sintéticos, Python 3.12 y ausencia de Outlook real.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[REVISIÓN]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También se utilizó como rótulo de una inspección concreta.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Inspección visual página por página del informe y revisión del estado de GitHub.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[COMPROBADO]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Se repitió para cerrar cada verificación específica.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Compilación, pytest, commits y fetch de archivos publicados.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[ATENCIÓN]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Se repitió para mantener visibles las tareas no acreditadas.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Migración Excel, reglas RUS completas y pruebas Windows pendientes.</w:t>
            </w:r>
          </w:p>
        </w:tc>
      </w:tr>
    </w:tbl>
    <w:p>
      <w:r>
        <w:t>Nota: algunas etiquetas cumplen más de una función según el momento. Por ejemplo, [REVISIÓN] puede ser una etiqueta de atención cuando anuncia una inspección, o una marca local cuando identifica el tramo efectivamente revisado.</w:t>
      </w:r>
    </w:p>
    <w:p>
      <w:pPr>
        <w:pStyle w:val="Heading1"/>
      </w:pPr>
      <w:r>
        <w:t>5. Secuencia visible de uso</w:t>
      </w:r>
    </w:p>
    <w:p>
      <w:pPr>
        <w:pStyle w:val="ListNumber"/>
      </w:pPr>
      <w:r>
        <w:rPr>
          <w:b/>
        </w:rPr>
        <w:t xml:space="preserve">[REVISIÓN] </w:t>
      </w:r>
      <w:r>
        <w:t>Se anunció que se comprobarían repositorio, estructura, pruebas y entregables.</w:t>
      </w:r>
    </w:p>
    <w:p>
      <w:pPr>
        <w:pStyle w:val="ListNumber"/>
      </w:pPr>
      <w:r>
        <w:rPr>
          <w:b/>
        </w:rPr>
        <w:t xml:space="preserve">[ATENCIÓN] </w:t>
      </w:r>
      <w:r>
        <w:t>Se acotó el foco a integrar las tres herramientas sin sobrecargar la interfaz.</w:t>
      </w:r>
    </w:p>
    <w:p>
      <w:pPr>
        <w:pStyle w:val="ListNumber"/>
      </w:pPr>
      <w:r>
        <w:rPr>
          <w:b/>
        </w:rPr>
        <w:t xml:space="preserve">[LOCAL] </w:t>
      </w:r>
      <w:r>
        <w:t>Se identificó el repositorio vacío y el entorno local disponible.</w:t>
      </w:r>
    </w:p>
    <w:p>
      <w:pPr>
        <w:pStyle w:val="ListNumber"/>
      </w:pPr>
      <w:r>
        <w:rPr>
          <w:b/>
        </w:rPr>
        <w:t xml:space="preserve">[GLOBAL] </w:t>
      </w:r>
      <w:r>
        <w:t>Se eligió una arquitectura modular con SQLite y adaptadores aislados.</w:t>
      </w:r>
    </w:p>
    <w:p>
      <w:pPr>
        <w:pStyle w:val="ListNumber"/>
      </w:pPr>
      <w:r>
        <w:rPr>
          <w:b/>
        </w:rPr>
        <w:t xml:space="preserve">[IMPLEMENTADO] </w:t>
      </w:r>
      <w:r>
        <w:t>Se creó la base Tkinter, modelos, renderizador, persistencia y editor.</w:t>
      </w:r>
    </w:p>
    <w:p>
      <w:pPr>
        <w:pStyle w:val="ListNumber"/>
      </w:pPr>
      <w:r>
        <w:rPr>
          <w:b/>
        </w:rPr>
        <w:t xml:space="preserve">[COMPROBADO] </w:t>
      </w:r>
      <w:r>
        <w:t>Se ejecutaron compilación y pruebas; se corrigió la ubicación de módulos.</w:t>
      </w:r>
    </w:p>
    <w:p>
      <w:pPr>
        <w:pStyle w:val="ListNumber"/>
      </w:pPr>
      <w:r>
        <w:rPr>
          <w:b/>
        </w:rPr>
        <w:t xml:space="preserve">[PUBLICADO] </w:t>
      </w:r>
      <w:r>
        <w:t>Se escribieron los archivos y actualizaciones en main de GitHub.</w:t>
      </w:r>
    </w:p>
    <w:p>
      <w:pPr>
        <w:pStyle w:val="ListNumber"/>
      </w:pPr>
      <w:r>
        <w:rPr>
          <w:b/>
        </w:rPr>
        <w:t xml:space="preserve">[LIMITACIÓN] </w:t>
      </w:r>
      <w:r>
        <w:t>Se dejó constancia de que Windows/Outlook y la migración RUS no estaban acreditados.</w:t>
      </w:r>
    </w:p>
    <w:p>
      <w:pPr>
        <w:pStyle w:val="ListNumber"/>
      </w:pPr>
      <w:r>
        <w:rPr>
          <w:b/>
        </w:rPr>
        <w:t xml:space="preserve">[CONFLICTO_ABIERTO] </w:t>
      </w:r>
      <w:r>
        <w:t>Se conservaron decisiones institucionales pendientes en la documentación.</w:t>
      </w:r>
    </w:p>
    <w:p>
      <w:pPr>
        <w:pStyle w:val="ListNumber"/>
      </w:pPr>
      <w:r>
        <w:rPr>
          <w:b/>
        </w:rPr>
        <w:t xml:space="preserve">[PRÓXIMA ACCIÓN] </w:t>
      </w:r>
      <w:r>
        <w:t>Se fijó la migración de lectores y reglas como siguiente avance concreto.</w:t>
      </w:r>
    </w:p>
    <w:p>
      <w:pPr>
        <w:pStyle w:val="Heading1"/>
      </w:pPr>
      <w:r>
        <w:t>6. Qué se hizo correctamente y qué debe mejorarse</w:t>
      </w:r>
    </w:p>
    <w:p>
      <w:r>
        <w:t>Correctamente: se anunció la revisión antes de realizarla; se mantuvieron visibles los límites; se separaron hechos de posibilidades; se verificó el código con pruebas; se comprobó la publicación remota; y se evitó afirmar que Outlook real estaba probado.</w:t>
      </w:r>
    </w:p>
    <w:p>
      <w:r>
        <w:t>A mejorar: las etiquetas no siguieron desde el comienzo una taxonomía única; [REVISIÓN], [COMPROBADO] y [ATENCIÓN] se reutilizaron en más de un nivel; y la petición de “todas las etiquetas” no había sido convertida previamente en un registro formal. Este documento corrige esa omisión.</w:t>
      </w:r>
    </w:p>
    <w:p>
      <w:pPr>
        <w:pStyle w:val="Heading1"/>
      </w:pPr>
      <w:r>
        <w:t>7. Convención recomendada para las próximas fases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20"/>
              </w:rPr>
              <w:t>Nivel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20"/>
              </w:rPr>
              <w:t>Etiquetas permitidas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  <w:shd w:fill="F2F4F7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sz w:val="20"/>
              </w:rPr>
              <w:t>Regla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Global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[GLOBAL]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Solo para decisiones que afectan todo el proyecto.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Atención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[REVISIÓN], [ATENCIÓN], [CONFLICTO_ABIERTO]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Usarlas antes o durante una comprobación; nunca como prueba de éxito.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Local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[LOCAL], [IMPLEMENTADO], [COMPROBADO], [PUBLICADO], [LIMITACIÓN], [PRÓXIMA ACCIÓN]</w:t>
            </w:r>
          </w:p>
        </w:tc>
        <w:tc>
          <w:tcPr>
            <w:tcW w:type="dxa" w:w="3120"/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  <w:insideH w:val="single" w:sz="4" w:color="D9E2EC"/>
              <w:insideV w:val="single" w:sz="4" w:color="D9E2EC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sz w:val="20"/>
              </w:rPr>
              <w:t>Usarlas para evidencia, estado, alcance o siguiente paso concreto.</w:t>
            </w:r>
          </w:p>
        </w:tc>
      </w:tr>
    </w:tbl>
    <w:p>
      <w:r>
        <w:t>Regla de cierre: toda afirmación técnica debe llevar [COMPROBADO] y una evidencia; toda capacidad no probada debe llevar [LIMITACIÓN]; toda decisión institucional no resuelta debe llevar [CONFLICTO_ABIERTO].</w:t>
      </w:r>
    </w:p>
    <w:p>
      <w:pPr>
        <w:pStyle w:val="Heading1"/>
      </w:pPr>
      <w:r>
        <w:t>8. Conclusión</w:t>
      </w:r>
    </w:p>
    <w:p>
      <w:r>
        <w:t>El uso de etiquetas permitió mantener una línea visible entre revisión, foco, evidencia, implementación y pendientes. El registro confirma que NuRus tiene una base funcional publicada, pero también que el plan completo requiere continuar con la migración de reglas RUS y la validación en el entorno institucional autorizado.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B5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