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0" w:line="360" w:lineRule="auto"/>
        <w:jc w:val="both"/>
      </w:pPr>
      <w:r>
        <w:rPr>
          <w:rFonts w:ascii="Arial" w:hAnsi="Arial"/>
          <w:b/>
          <w:i w:val="0"/>
          <w:sz w:val="24"/>
        </w:rPr>
        <w:t>Laja, la fecha de la resolución es la que se indica en el pie de firma.</w:t>
      </w:r>
    </w:p>
    <w:p/>
    <w:p>
      <w:pPr>
        <w:widowControl/>
        <w:spacing w:before="0" w:after="0" w:line="360" w:lineRule="auto"/>
        <w:jc w:val="both"/>
      </w:pPr>
      <w:r>
        <w:rPr>
          <w:rFonts w:ascii="Arial" w:hAnsi="Arial"/>
          <w:b/>
          <w:i w:val="0"/>
          <w:sz w:val="24"/>
        </w:rPr>
        <w:t>VISTO: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Atendido al mérito de los antecedentes que obran en autos y de conformidad a lo dispuesto en los artículos 13 y 16 de la Ley N° 19.968 que crea Los Tribunales de Familia, se resuelve: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 xml:space="preserve">Ofíciese a programa </w:t>
      </w:r>
      <w:r>
        <w:rPr>
          <w:rFonts w:ascii="Arial" w:hAnsi="Arial"/>
          <w:b/>
          <w:i w:val="0"/>
          <w:sz w:val="24"/>
        </w:rPr>
        <w:t xml:space="preserve">AFT FICTICIO</w:t>
      </w:r>
      <w:r>
        <w:rPr>
          <w:rFonts w:ascii="Arial" w:hAnsi="Arial"/>
          <w:b w:val="0"/>
          <w:i w:val="0"/>
          <w:sz w:val="24"/>
        </w:rPr>
        <w:t xml:space="preserve"> a fin de pedir cuenta del ingreso efectivo de </w:t>
      </w:r>
      <w:r>
        <w:rPr>
          <w:rFonts w:ascii="Arial" w:hAnsi="Arial"/>
          <w:b/>
          <w:i w:val="0"/>
          <w:sz w:val="24"/>
        </w:rPr>
        <w:t xml:space="preserve">Persona ficticia 1</w:t>
      </w:r>
      <w:r>
        <w:rPr>
          <w:rFonts w:ascii="Arial" w:hAnsi="Arial"/>
          <w:b w:val="0"/>
          <w:i w:val="0"/>
          <w:sz w:val="24"/>
        </w:rPr>
        <w:t xml:space="preserve">, cédula de identidad N° </w:t>
      </w:r>
      <w:r>
        <w:rPr>
          <w:rFonts w:ascii="Arial" w:hAnsi="Arial"/>
          <w:b/>
          <w:i w:val="0"/>
          <w:sz w:val="24"/>
        </w:rPr>
        <w:t xml:space="preserve">00111111-1</w:t>
      </w:r>
      <w:r>
        <w:rPr>
          <w:rFonts w:ascii="Arial" w:hAnsi="Arial"/>
          <w:b w:val="0"/>
          <w:i w:val="0"/>
          <w:sz w:val="24"/>
        </w:rPr>
        <w:t>.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-Notifíquese vía correo al programa interventor y curador.</w:t>
      </w: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-Notifíquese a los restantes intervinientes por el estado diario.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Sirva la presente resolución de suficiente y atento oficio remisor.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/>
          <w:i w:val="0"/>
          <w:sz w:val="24"/>
        </w:rPr>
        <w:t xml:space="preserve">RIT: X-1-2026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Proveyó, Juez del juzgado de Letras y Garantía de Laja, quien suscribe con firma electrónica avanzada.</w:t>
      </w: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En Laja, con esta fecha, notifique por el estado diario la resolución que antecede.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Arial" w:hAnsi="Arial" w:cs="Arial"/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2026-10-08T00:00:00Z</dcterms:created>
  <dcterms:modified xsi:type="dcterms:W3CDTF">2026-10-08T00:00:00Z</dcterms:modified>
  <cp:category/>
</cp:coreProperties>
</file>