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texto cumple con las reglas ortografía y de redacción en todos sus apartados.</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Y</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highlight w:val="cyan"/>
                <w:rtl w:val="0"/>
              </w:rPr>
              <w:t xml:space="preserve">El informe cumple con el 100% de los indicadores de calidad disciplinarios</w:t>
            </w:r>
            <w:r w:rsidDel="00000000" w:rsidR="00000000" w:rsidRPr="00000000">
              <w:rPr>
                <w:rFonts w:ascii="Calibri" w:cs="Calibri" w:eastAsia="Calibri" w:hAnsi="Calibri"/>
                <w:color w:val="000000"/>
                <w:rtl w:val="0"/>
              </w:rPr>
              <w:t xml:space="preserve">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1iSCV38+e3XiJAwYfoL/6oMUQg==">CgMxLjA4AHIhMWVHU1dkZnY2azZKeE1pNWhZdFpQT0RzQ2t0ZEVrZ1lL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