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1.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50" w:before="750" w:lineRule="auto"/>
        <w:rPr>
          <w:rFonts w:ascii="Helvetica Neue" w:cs="Helvetica Neue" w:eastAsia="Helvetica Neue" w:hAnsi="Helvetica Neue"/>
          <w:sz w:val="32"/>
          <w:szCs w:val="32"/>
        </w:rPr>
      </w:pPr>
      <w:bookmarkStart w:colFirst="0" w:colLast="0" w:name="_heading=h.4zdlp275qg0p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Francisco Cartagena Villega E.I.R.L enfrenta dificultades en la gestión de sus operaciones debido al uso de herramientas manuales, como Excel, para registrar órdenes de trabajo. Esto genera ineficiencias, desorganización, y una limitación en la capacidad operativa, impidiendo el crecimiento proyectado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2. 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Helvetica Neue" w:cs="Helvetica Neue" w:eastAsia="Helvetica Neue" w:hAnsi="Helvetica Neue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Implementación de un Sistema Integral de Gestión Automotriz (SIGA), que centralice y automatice los procesos de la empresa. Este sistema incluirá módulos para la gestión de servicios, inventarios, agenda, facturación y comunicación con clientes, mejorando la eficiencia operativa y organizativa.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3. Beneficios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Eficiencia operativa: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 Automatización de procesos que ahorran tiempo y reducen errores humanos.</w:t>
      </w:r>
    </w:p>
    <w:p w:rsidR="00000000" w:rsidDel="00000000" w:rsidP="00000000" w:rsidRDefault="00000000" w:rsidRPr="00000000" w14:paraId="0000000A">
      <w:pPr>
        <w:ind w:left="720" w:firstLine="0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Mejor control: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 Seguimiento en tiempo real de órdenes, inventarios y disponibilidad de recursos.</w:t>
      </w:r>
    </w:p>
    <w:p w:rsidR="00000000" w:rsidDel="00000000" w:rsidP="00000000" w:rsidRDefault="00000000" w:rsidRPr="00000000" w14:paraId="0000000B">
      <w:pPr>
        <w:ind w:left="720" w:firstLine="0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Crecimiento escalable: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 Preparado para la expansión de la empresa con más empleados y talleres asociados.</w:t>
      </w:r>
    </w:p>
    <w:p w:rsidR="00000000" w:rsidDel="00000000" w:rsidP="00000000" w:rsidRDefault="00000000" w:rsidRPr="00000000" w14:paraId="0000000C">
      <w:pPr>
        <w:ind w:left="720" w:firstLine="0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0"/>
          <w:szCs w:val="30"/>
          <w:rtl w:val="0"/>
        </w:rPr>
        <w:t xml:space="preserve">Integración tecnológica: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 Facilita la comunicación y la facturación electrónica con herramientas como el SII, WhatsApp y Google Maps.</w:t>
      </w:r>
    </w:p>
    <w:p w:rsidR="00000000" w:rsidDel="00000000" w:rsidP="00000000" w:rsidRDefault="00000000" w:rsidRPr="00000000" w14:paraId="0000000D">
      <w:pPr>
        <w:ind w:left="720" w:firstLine="0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4. Alcance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Helvetica Neue" w:cs="Helvetica Neue" w:eastAsia="Helvetica Neue" w:hAnsi="Helvetica Neue"/>
          <w:color w:val="050038"/>
          <w:sz w:val="30"/>
          <w:szCs w:val="3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0"/>
          <w:szCs w:val="30"/>
          <w:rtl w:val="0"/>
        </w:rPr>
        <w:t xml:space="preserve">El sistema cubrirá la administración de órdenes de trabajo, gestión de inventarios, planificación de agenda y facturación. También se integrarán plataformas externas (SII, WhatsApp). El SIGA permitirá a los talleres asociados gestionar sus trabajos y a la empresa expandirse sin comprometer la calidad de la información y los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Helvetica Neue" w:cs="Helvetica Neue" w:eastAsia="Helvetica Neue" w:hAnsi="Helvetica Neue"/>
          <w:color w:val="05003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5. Partes interesadas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Propietario del negocio: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Francisco Cartagena Villega E.I.R.L.</w: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Trabajadores: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Reciben órdenes de trabajo y gestionan reparaciones.</w:t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Clientes particulares: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Usuarios de los servicios a domicilio o en talleres.</w:t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Empleados del sistema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: Desarrolladores, QA testers, administradores.</w:t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6. Recursos</w:t>
      </w:r>
    </w:p>
    <w:p w:rsidR="00000000" w:rsidDel="00000000" w:rsidP="00000000" w:rsidRDefault="00000000" w:rsidRPr="00000000" w14:paraId="00000021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Tecnológicos: Servidores para alojamiento (XAMPP), software de desarrollo (PHP, MySQL), infraestructura de red.</w:t>
      </w:r>
    </w:p>
    <w:p w:rsidR="00000000" w:rsidDel="00000000" w:rsidP="00000000" w:rsidRDefault="00000000" w:rsidRPr="00000000" w14:paraId="00000024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Humanos: Desarrolladores, analistas de negocios, testers, equipo de soporte técnico.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Financieros: Inversión en tecnología, mantenimiento, recursos humanos.</w:t>
      </w:r>
    </w:p>
    <w:p w:rsidR="00000000" w:rsidDel="00000000" w:rsidP="00000000" w:rsidRDefault="00000000" w:rsidRPr="00000000" w14:paraId="00000027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7.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4"/>
          <w:szCs w:val="34"/>
          <w:rtl w:val="0"/>
        </w:rPr>
        <w:t xml:space="preserve">Fallos técnicos: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 Problemas en la integración con plataformas externas como el SII o Google Maps.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4"/>
          <w:szCs w:val="34"/>
          <w:rtl w:val="0"/>
        </w:rPr>
        <w:t xml:space="preserve">Escalabilidad: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 Riesgo de que la infraestructura no soporte el crecimiento de la empresa a futuro.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4"/>
          <w:szCs w:val="34"/>
          <w:rtl w:val="0"/>
        </w:rPr>
        <w:t xml:space="preserve">Resistencia al cambio: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 Algunos talleres asociados podrían no adaptarse rápidamente al nuevo sistema.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34"/>
          <w:szCs w:val="34"/>
          <w:rtl w:val="0"/>
        </w:rPr>
        <w:t xml:space="preserve">Costos no planificados: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34"/>
          <w:szCs w:val="34"/>
          <w:rtl w:val="0"/>
        </w:rPr>
        <w:t xml:space="preserve"> Aumento en costos de desarrollo y mantenimiento.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8. Costes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Infraestructura tecnológica: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Costes de servidores, hosting y software.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Capacitación: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Formación para empleados y talleres asociados en el uso del sistema.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Mantenimiento: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Soporte técnico y actualizaciones a largo plazo.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El presupuesto estimado para la realización del proyecto es de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Los costes de inversión a lo largo del proyecto serán a la hora de mantener el servidor de la página web junto con actualizaciones de esta misma.</w:t>
      </w:r>
    </w:p>
    <w:p w:rsidR="00000000" w:rsidDel="00000000" w:rsidP="00000000" w:rsidRDefault="00000000" w:rsidRPr="00000000" w14:paraId="00000041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50" w:before="750" w:lineRule="auto"/>
        <w:rPr>
          <w:rFonts w:ascii="Arial" w:cs="Arial" w:eastAsia="Arial" w:hAnsi="Arial"/>
          <w:b w:val="1"/>
          <w:color w:val="050038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50" w:before="75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color w:val="050038"/>
          <w:sz w:val="45"/>
          <w:szCs w:val="45"/>
          <w:rtl w:val="0"/>
        </w:rPr>
        <w:t xml:space="preserve">9. Métricas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Tiempo de respuesta: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Reducción del tiempo para completar órdenes de trabajo.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Satisfacción del cliente: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Aumento en la satisfacción de clientes y talleres asociados.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Reducción de errores: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Disminución de errores en la gestión de órdenes e inventarios.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Crecimiento operativ o: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Incremento en el número de órdenes gestionadas y capacidad operativa de la empresa.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050038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50038"/>
          <w:sz w:val="28"/>
          <w:szCs w:val="28"/>
          <w:rtl w:val="0"/>
        </w:rPr>
        <w:t xml:space="preserve">Retorno de inversión (ROI):</w:t>
      </w:r>
      <w:r w:rsidDel="00000000" w:rsidR="00000000" w:rsidRPr="00000000">
        <w:rPr>
          <w:rFonts w:ascii="Helvetica Neue" w:cs="Helvetica Neue" w:eastAsia="Helvetica Neue" w:hAnsi="Helvetica Neue"/>
          <w:color w:val="050038"/>
          <w:sz w:val="28"/>
          <w:szCs w:val="28"/>
          <w:rtl w:val="0"/>
        </w:rPr>
        <w:t xml:space="preserve"> Medir el impacto financiero del sistema en los ingresos y la reducción de costos operativos.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Helvetica Neue" w:cs="Helvetica Neue" w:eastAsia="Helvetica Neue" w:hAnsi="Helvetica Neue"/>
          <w:color w:val="050038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720" w:firstLine="0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Helvetica Neue" w:cs="Helvetica Neue" w:eastAsia="Helvetica Neue" w:hAnsi="Helvetica Neue"/>
          <w:color w:val="05003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ar"/>
    <w:uiPriority w:val="9"/>
    <w:qFormat w:val="1"/>
    <w:rsid w:val="00E332B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E332BC"/>
    <w:rPr>
      <w:rFonts w:ascii="Times New Roman" w:cs="Times New Roman" w:eastAsia="Times New Roman" w:hAnsi="Times New Roman"/>
      <w:b w:val="1"/>
      <w:bCs w:val="1"/>
      <w:sz w:val="27"/>
      <w:szCs w:val="27"/>
      <w:lang w:eastAsia="es-CL"/>
    </w:rPr>
  </w:style>
  <w:style w:type="paragraph" w:styleId="sc-cc515bd7-0" w:customStyle="1">
    <w:name w:val="sc-cc515bd7-0"/>
    <w:basedOn w:val="Normal"/>
    <w:rsid w:val="00E332B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k3vdJFmbE9tPyqlkgInprjrltQ==">CgMxLjAyCGguZ2pkZ3hzMg5oLjR6ZGxwMjc1cWcwcDgAciExVGNVMVdDb05HWEQxTGZ2SzRDbzNTNGQxZkNJWFZPTnc=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2023-04-04T13:38:00Z</dcterms:created>
  <dc:creator>cetecom</dc:creator>
</cp:coreProperties>
</file>