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4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CheckList Sprint 3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Sistema Integral de Gestión Automotriz (SIGA)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[01/12/2024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 Previo Sprint 1 (29-08-2022).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Historial de Versiones.</w:t>
      </w:r>
    </w:p>
    <w:tbl>
      <w:tblPr>
        <w:tblStyle w:val="Table1"/>
        <w:tblW w:w="8720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1"/>
        <w:gridCol w:w="950"/>
        <w:gridCol w:w="1770"/>
        <w:gridCol w:w="1818"/>
        <w:gridCol w:w="2881"/>
        <w:tblGridChange w:id="0">
          <w:tblGrid>
            <w:gridCol w:w="1301"/>
            <w:gridCol w:w="950"/>
            <w:gridCol w:w="1770"/>
            <w:gridCol w:w="1818"/>
            <w:gridCol w:w="288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29-11-2024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Proyecto.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4297"/>
        <w:tblGridChange w:id="0">
          <w:tblGrid>
            <w:gridCol w:w="4423"/>
            <w:gridCol w:w="429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“FK Soluciones Automotrices”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Dueño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Alberto Ganas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/ Líder de 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CheckList Previo Sprint 3 (29-11-2024).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552"/>
        <w:gridCol w:w="1664"/>
        <w:gridCol w:w="2207"/>
        <w:tblGridChange w:id="0">
          <w:tblGrid>
            <w:gridCol w:w="2405"/>
            <w:gridCol w:w="2552"/>
            <w:gridCol w:w="1664"/>
            <w:gridCol w:w="2207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 (S/N)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visión y roles.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P.O.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Entregas.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P.O.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e Historias de usuarios.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Backlog Priorizado.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del Sprint Backlog del Sprint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Observaciones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4" name="image1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9548A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548AF"/>
    <w:pPr>
      <w:ind w:left="720"/>
      <w:contextualSpacing w:val="1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19330B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19330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PmHXMeuXlDK7tfflRKGuWlJrNw==">CgMxLjAyCGguZ2pkZ3hzMgloLjMwajB6bGwyCWguMWZvYjl0ZTgAciExUmJjYkFXVGduRXVyT1NxcF9nR2F2RDhwUU9Od1gxeVM=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2022-10-23T17:46:00Z</dcterms:created>
  <dc:creator>Sofía Pincheira Guzmán</dc:creator>
</cp:coreProperties>
</file>