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c7rgwky5mc0m"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bl8s5rhgiz5f"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4.png"/>
                  <a:graphic>
                    <a:graphicData uri="http://schemas.openxmlformats.org/drawingml/2006/picture">
                      <pic:pic>
                        <pic:nvPicPr>
                          <pic:cNvPr descr="Lista con relleno sólido" id="0" name="image4.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2.png"/>
                  <a:graphic>
                    <a:graphicData uri="http://schemas.openxmlformats.org/drawingml/2006/picture">
                      <pic:pic>
                        <pic:nvPicPr>
                          <pic:cNvPr descr="Inteligencia artificial con relleno sólido" id="0" name="image2.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548dd4"/>
                <w:sz w:val="22"/>
                <w:szCs w:val="22"/>
              </w:rPr>
            </w:pPr>
            <w:r w:rsidDel="00000000" w:rsidR="00000000" w:rsidRPr="00000000">
              <w:rPr>
                <w:rFonts w:ascii="Calibri" w:cs="Calibri" w:eastAsia="Calibri" w:hAnsi="Calibri"/>
                <w:color w:val="548dd4"/>
                <w:sz w:val="22"/>
                <w:szCs w:val="22"/>
                <w:rtl w:val="0"/>
              </w:rPr>
              <w:t xml:space="preserve">21.282.648-0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color w:val="548dd4"/>
                <w:sz w:val="22"/>
                <w:szCs w:val="22"/>
              </w:rPr>
            </w:pPr>
            <w:r w:rsidDel="00000000" w:rsidR="00000000" w:rsidRPr="00000000">
              <w:rPr>
                <w:rFonts w:ascii="Calibri" w:cs="Calibri" w:eastAsia="Calibri" w:hAnsi="Calibri"/>
                <w:color w:val="548dd4"/>
                <w:sz w:val="22"/>
                <w:szCs w:val="22"/>
                <w:rtl w:val="0"/>
              </w:rPr>
              <w:t xml:space="preserve">20.522.562-5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color w:val="548dd4"/>
                <w:sz w:val="22"/>
                <w:szCs w:val="22"/>
              </w:rPr>
            </w:pPr>
            <w:r w:rsidDel="00000000" w:rsidR="00000000" w:rsidRPr="00000000">
              <w:rPr>
                <w:rFonts w:ascii="Calibri" w:cs="Calibri" w:eastAsia="Calibri" w:hAnsi="Calibri"/>
                <w:color w:val="548dd4"/>
                <w:sz w:val="22"/>
                <w:szCs w:val="22"/>
                <w:rtl w:val="0"/>
              </w:rPr>
              <w:t xml:space="preserve">21.266.058-2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548dd4"/>
                <w:sz w:val="22"/>
                <w:szCs w:val="22"/>
              </w:rPr>
            </w:pPr>
            <w:r w:rsidDel="00000000" w:rsidR="00000000" w:rsidRPr="00000000">
              <w:rPr>
                <w:rFonts w:ascii="Calibri" w:cs="Calibri" w:eastAsia="Calibri" w:hAnsi="Calibri"/>
                <w:color w:val="548dd4"/>
                <w:sz w:val="22"/>
                <w:szCs w:val="22"/>
                <w:rtl w:val="0"/>
              </w:rPr>
              <w:t xml:space="preserve">Matias Rodrigo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color w:val="548dd4"/>
                <w:sz w:val="22"/>
                <w:szCs w:val="22"/>
              </w:rPr>
            </w:pPr>
            <w:r w:rsidDel="00000000" w:rsidR="00000000" w:rsidRPr="00000000">
              <w:rPr>
                <w:rFonts w:ascii="Calibri" w:cs="Calibri" w:eastAsia="Calibri" w:hAnsi="Calibri"/>
                <w:color w:val="548dd4"/>
                <w:sz w:val="22"/>
                <w:szCs w:val="22"/>
                <w:rtl w:val="0"/>
              </w:rPr>
              <w:t xml:space="preserve">Nicolas Antonio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color w:val="548dd4"/>
                <w:sz w:val="22"/>
                <w:szCs w:val="22"/>
              </w:rPr>
            </w:pPr>
            <w:r w:rsidDel="00000000" w:rsidR="00000000" w:rsidRPr="00000000">
              <w:rPr>
                <w:rFonts w:ascii="Calibri" w:cs="Calibri" w:eastAsia="Calibri" w:hAnsi="Calibri"/>
                <w:color w:val="548dd4"/>
                <w:sz w:val="22"/>
                <w:szCs w:val="22"/>
                <w:rtl w:val="0"/>
              </w:rPr>
              <w:t xml:space="preserve">Axel Paolo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color w:val="548dd4"/>
                <w:sz w:val="22"/>
                <w:szCs w:val="22"/>
              </w:rPr>
            </w:pPr>
            <w:r w:rsidDel="00000000" w:rsidR="00000000" w:rsidRPr="00000000">
              <w:rPr>
                <w:rFonts w:ascii="Calibri" w:cs="Calibri" w:eastAsia="Calibri" w:hAnsi="Calibri"/>
                <w:color w:val="548dd4"/>
                <w:sz w:val="22"/>
                <w:szCs w:val="22"/>
                <w:rtl w:val="0"/>
              </w:rPr>
              <w:t xml:space="preserve">Riquelme Arancibia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color w:val="548dd4"/>
                <w:sz w:val="22"/>
                <w:szCs w:val="22"/>
              </w:rPr>
            </w:pPr>
            <w:r w:rsidDel="00000000" w:rsidR="00000000" w:rsidRPr="00000000">
              <w:rPr>
                <w:rFonts w:ascii="Calibri" w:cs="Calibri" w:eastAsia="Calibri" w:hAnsi="Calibri"/>
                <w:color w:val="548dd4"/>
                <w:sz w:val="22"/>
                <w:szCs w:val="22"/>
                <w:rtl w:val="0"/>
              </w:rPr>
              <w:t xml:space="preserve">Carvajal Moncada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color w:val="548dd4"/>
                <w:sz w:val="22"/>
                <w:szCs w:val="22"/>
              </w:rPr>
            </w:pPr>
            <w:r w:rsidDel="00000000" w:rsidR="00000000" w:rsidRPr="00000000">
              <w:rPr>
                <w:rFonts w:ascii="Calibri" w:cs="Calibri" w:eastAsia="Calibri" w:hAnsi="Calibri"/>
                <w:color w:val="548dd4"/>
                <w:sz w:val="22"/>
                <w:szCs w:val="22"/>
                <w:rtl w:val="0"/>
              </w:rPr>
              <w:t xml:space="preserve">Soto Valdivia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Otros…</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Sistema de Seguros y Gestión</w:t>
            </w:r>
          </w:p>
        </w:tc>
      </w:tr>
      <w:tr>
        <w:trPr>
          <w:cantSplit w:val="0"/>
          <w:trHeight w:val="3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 una plataforma web conformada por un Frontend interactivo y un Backend basado en arquitectura de microservicios que permite centralizar la gestión de pólizas, automatizar el reporte de incidentes y controlar los gastos operativos de flotas vehiculares.</w:t>
            </w:r>
            <w:r w:rsidDel="00000000" w:rsidR="00000000" w:rsidRPr="00000000">
              <w:rPr>
                <w:rtl w:val="0"/>
              </w:rPr>
            </w:r>
          </w:p>
        </w:tc>
      </w:tr>
      <w:tr>
        <w:trPr>
          <w:cantSplit w:val="0"/>
          <w:trHeight w:val="609.63053385416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Falta de un sistema centralizado, escalable y automatizado para gestionar eficientemente los siniestros de seguros, la validación de documentos adjuntos y el control de los gastos operativos (como el combustible) de los vehículos.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Una aplicación web integral (con Dashboard administrativo y portal) respaldada por múltiples microservicios (Spring Boot), que permita el registro de siniestros, gestión de documentos, envío automatizado de correos y el control de vehículos en tiempo real.</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e implementar un sistema web modular y seguro para la gestión eficiente de flotas de vehículos, siniestros y seguros, optimizando los tiempos de respuesta y centralizando la información de la empresa.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objetivo técnico central es construir una arquitectura de microservicios escalable orquestada por un Api Gateway, la cual integrará módulos específicos para la gestión segura de documentos (como PDF y JPG) y el control de flujos de siniestros. Para facilitar la administración y el análisis, se implementará un panel interactivo tipo </w:t>
            </w:r>
            <w:r w:rsidDel="00000000" w:rsidR="00000000" w:rsidRPr="00000000">
              <w:rPr>
                <w:rFonts w:ascii="Calibri" w:cs="Calibri" w:eastAsia="Calibri" w:hAnsi="Calibri"/>
                <w:i w:val="1"/>
                <w:iCs w:val="1"/>
                <w:color w:val="548dd4"/>
                <w:sz w:val="20"/>
                <w:szCs w:val="20"/>
                <w:rtl w:val="0"/>
              </w:rPr>
              <w:t xml:space="preserve">Dashboard</w:t>
            </w:r>
            <w:r w:rsidDel="00000000" w:rsidR="00000000" w:rsidRPr="00000000">
              <w:rPr>
                <w:rFonts w:ascii="Calibri" w:cs="Calibri" w:eastAsia="Calibri" w:hAnsi="Calibri"/>
                <w:color w:val="548dd4"/>
                <w:sz w:val="20"/>
                <w:szCs w:val="20"/>
                <w:rtl w:val="0"/>
              </w:rPr>
              <w:t xml:space="preserve"> que permitirá visualizar métricas clave, estados de pólizas y reclamos en tiempo real. Además, el sistema optimizará la comunicación al automatizar el envío de notificaciones por correo electrónico en respuesta a las interacciones de los usuarios, como el envío de un reporte o formulario de siniestro.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proyecto abarca el desarrollo completo End-to-End, incluyendo la interfaz de usuario (frontend) y la creación de 5 microservicios backend principales (Usuarios, Documentación, Siniestros, Vehículos/Combustible y Api Gateway). Contempla autenticación segura (OAuth2/JWT), persistencia en bases de datos relacionales (MySQL) y su posterior orquestación y despliegue usando contenedores (Docker). No contempla integraciones en tiempo real con pasarelas de pago de aseguradoras externas.</w:t>
            </w:r>
            <w:r w:rsidDel="00000000" w:rsidR="00000000" w:rsidRPr="00000000">
              <w:rPr>
                <w:rtl w:val="0"/>
              </w:rPr>
            </w:r>
          </w:p>
        </w:tc>
      </w:tr>
    </w:tbl>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0">
            <w:pPr>
              <w:spacing w:after="240" w:before="240" w:line="259" w:lineRule="auto"/>
              <w:rPr>
                <w:rFonts w:ascii="Calibri" w:cs="Calibri" w:eastAsia="Calibri" w:hAnsi="Calibri"/>
                <w:color w:val="5b9bd5"/>
                <w:sz w:val="20"/>
                <w:szCs w:val="20"/>
              </w:rPr>
            </w:pPr>
            <w:r w:rsidDel="00000000" w:rsidR="00000000" w:rsidRPr="00000000">
              <w:rPr>
                <w:rFonts w:ascii="Calibri" w:cs="Calibri" w:eastAsia="Calibri" w:hAnsi="Calibri"/>
                <w:color w:val="5b9bd5"/>
                <w:sz w:val="20"/>
                <w:szCs w:val="20"/>
                <w:rtl w:val="0"/>
              </w:rPr>
              <w:t xml:space="preserve">El proyecto se desarrolla en el contexto de </w:t>
            </w:r>
            <w:r w:rsidDel="00000000" w:rsidR="00000000" w:rsidRPr="00000000">
              <w:rPr>
                <w:rFonts w:ascii="Calibri" w:cs="Calibri" w:eastAsia="Calibri" w:hAnsi="Calibri"/>
                <w:b w:val="1"/>
                <w:bCs w:val="1"/>
                <w:color w:val="5b9bd5"/>
                <w:sz w:val="20"/>
                <w:szCs w:val="20"/>
                <w:rtl w:val="0"/>
              </w:rPr>
              <w:t xml:space="preserve">TAD</w:t>
            </w:r>
            <w:r w:rsidDel="00000000" w:rsidR="00000000" w:rsidRPr="00000000">
              <w:rPr>
                <w:rFonts w:ascii="Calibri" w:cs="Calibri" w:eastAsia="Calibri" w:hAnsi="Calibri"/>
                <w:color w:val="5b9bd5"/>
                <w:sz w:val="20"/>
                <w:szCs w:val="20"/>
                <w:rtl w:val="0"/>
              </w:rPr>
              <w:t xml:space="preserve">, una empresa de transporte enfocada principalmente en el traslado de químicos y combustibles hacia el sector minero. Una de las grandes problemáticas que enfrenta la empresa es su importante rezago tecnológico, especialmente en el apartado de gestión, donde actualmente toda la información se almacena en hojas de cálculo (Excel) y los datos se ingresan de manera manual.</w:t>
            </w:r>
          </w:p>
          <w:p w:rsidR="00000000" w:rsidDel="00000000" w:rsidP="00000000" w:rsidRDefault="00000000" w:rsidRPr="00000000" w14:paraId="00000061">
            <w:pPr>
              <w:spacing w:after="240" w:before="240" w:line="259" w:lineRule="auto"/>
              <w:rPr>
                <w:rFonts w:ascii="Calibri" w:cs="Calibri" w:eastAsia="Calibri" w:hAnsi="Calibri"/>
                <w:color w:val="5b9bd5"/>
                <w:sz w:val="20"/>
                <w:szCs w:val="20"/>
              </w:rPr>
            </w:pPr>
            <w:r w:rsidDel="00000000" w:rsidR="00000000" w:rsidRPr="00000000">
              <w:rPr>
                <w:rFonts w:ascii="Calibri" w:cs="Calibri" w:eastAsia="Calibri" w:hAnsi="Calibri"/>
                <w:color w:val="5b9bd5"/>
                <w:sz w:val="20"/>
                <w:szCs w:val="20"/>
                <w:rtl w:val="0"/>
              </w:rPr>
              <w:t xml:space="preserve">A partir de esta realidad, el proyecto surge de la necesidad de modernizar la administración de sus flotas vehiculares y sus pólizas de seguro, con la motivación de reducir la carga administrativa, asegurar la integridad documental y minimizar los tiempos de respuesta ante incidentes. Dirigida a administradores, analistas, gestores y conductores, esta iniciativa busca superar el estado actual de la empresa, el cual depende de estas herramientas aisladas o sistemas obsoletos que carecen de notificaciones automáticas, trazabilidad y paneles de visualización en tiempo real.</w:t>
            </w:r>
          </w:p>
          <w:p w:rsidR="00000000" w:rsidDel="00000000" w:rsidP="00000000" w:rsidRDefault="00000000" w:rsidRPr="00000000" w14:paraId="00000062">
            <w:pPr>
              <w:spacing w:after="240" w:before="240" w:line="259" w:lineRule="auto"/>
              <w:rPr>
                <w:rFonts w:ascii="Calibri" w:cs="Calibri" w:eastAsia="Calibri" w:hAnsi="Calibri"/>
                <w:color w:val="5b9bd5"/>
                <w:sz w:val="20"/>
                <w:szCs w:val="20"/>
              </w:rPr>
            </w:pPr>
            <w:r w:rsidDel="00000000" w:rsidR="00000000" w:rsidRPr="00000000">
              <w:rPr>
                <w:rFonts w:ascii="Calibri" w:cs="Calibri" w:eastAsia="Calibri" w:hAnsi="Calibri"/>
                <w:color w:val="5b9bd5"/>
                <w:sz w:val="20"/>
                <w:szCs w:val="20"/>
                <w:rtl w:val="0"/>
              </w:rPr>
              <w:t xml:space="preserve">Esta dependencia tecnológica y manual genera dispersión de datos al momento de reportar un siniestro y desincronización en el control operativo (como el gasto de combustible), lo que retrasa significativamente la resolución de reclamos. Para solucionar esto, se desarrollará un único ecosistema digital seguro y de alta disponibilidad, estandarizado bajo una arquitectura de microservicios, que integrará de manera centralizada las áreas de Usuarios, Siniestros, Vehículos y Documentos.w</w:t>
            </w:r>
          </w:p>
          <w:p w:rsidR="00000000" w:rsidDel="00000000" w:rsidP="00000000" w:rsidRDefault="00000000" w:rsidRPr="00000000" w14:paraId="00000063">
            <w:pPr>
              <w:spacing w:line="259" w:lineRule="auto"/>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4">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7">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9">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Para abordar la solución al problema planteado, se empleará un enfoque basado en Metodologías Ágiles , justificado por la naturaleza modular de nuestra arquitectura de microservicios, lo que permitirá una evolución continua y entregas incrementales de valor. El ciclo de trabajo comenzará con una fase de análisis y diseño arquitectónico para definir el modelo de datos relacional y los contratos de las APIs. Posteriormente, se llevará a cabo un desarrollo iterativo del backend implementando servicios independientes (Usuario, Siniestros, Documentación, Flotas) con Spring Boot, un API Gateway central y seguridad JWT, complementado con el desarrollo de un frontend centrado en interfaces gráficas y un Dashboard analítico. Finalmente, tras superar rigurosas pruebas unitarias y de integración, la solución será orquestada y desplegada mediante contenedores Docker y archivos Docker Compose, garantizando su correcto y seguro funcionamiento en cualquier servidor.</w:t>
            </w:r>
            <w:r w:rsidDel="00000000" w:rsidR="00000000" w:rsidRPr="00000000">
              <w:rPr>
                <w:rtl w:val="0"/>
              </w:rPr>
            </w:r>
          </w:p>
          <w:p w:rsidR="00000000" w:rsidDel="00000000" w:rsidP="00000000" w:rsidRDefault="00000000" w:rsidRPr="00000000" w14:paraId="0000006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D">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9">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A">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 </w:t>
            </w:r>
            <w:r w:rsidDel="00000000" w:rsidR="00000000" w:rsidRPr="00000000">
              <w:rPr>
                <w:rFonts w:ascii="Calibri" w:cs="Calibri" w:eastAsia="Calibri" w:hAnsi="Calibri"/>
                <w:i w:val="1"/>
                <w:iCs w:val="1"/>
                <w:color w:val="548dd4"/>
                <w:sz w:val="20"/>
                <w:szCs w:val="20"/>
                <w:rtl w:val="0"/>
              </w:rPr>
              <w:t xml:space="preserve">Se utilizará una infraestructura virtualizada basada en contenedores gestionada mediante </w:t>
            </w:r>
            <w:r w:rsidDel="00000000" w:rsidR="00000000" w:rsidRPr="00000000">
              <w:rPr>
                <w:rFonts w:ascii="Calibri" w:cs="Calibri" w:eastAsia="Calibri" w:hAnsi="Calibri"/>
                <w:i w:val="1"/>
                <w:iCs w:val="1"/>
                <w:color w:val="548dd4"/>
                <w:sz w:val="20"/>
                <w:szCs w:val="20"/>
                <w:rtl w:val="0"/>
              </w:rPr>
              <w:t xml:space="preserve">Docker</w:t>
            </w:r>
            <w:r w:rsidDel="00000000" w:rsidR="00000000" w:rsidRPr="00000000">
              <w:rPr>
                <w:rFonts w:ascii="Calibri" w:cs="Calibri" w:eastAsia="Calibri" w:hAnsi="Calibri"/>
                <w:i w:val="1"/>
                <w:iCs w:val="1"/>
                <w:color w:val="548dd4"/>
                <w:sz w:val="20"/>
                <w:szCs w:val="20"/>
                <w:rtl w:val="0"/>
              </w:rPr>
              <w:t xml:space="preserve"> y Docker Compose. Además de contenerizar los microservicios y la base de datos, la infraestructura integrará un contenedor dedicado para Keycloak como servidor de gestión de identidades (SSO). Todo el ecosistema contará con Volúmenes de Docker para la persistencia permanente de datos de configuración de accesos.</w:t>
            </w:r>
            <w:r w:rsidDel="00000000" w:rsidR="00000000" w:rsidRPr="00000000">
              <w:rPr>
                <w:rtl w:val="0"/>
              </w:rPr>
            </w:r>
          </w:p>
          <w:p w:rsidR="00000000" w:rsidDel="00000000" w:rsidP="00000000" w:rsidRDefault="00000000" w:rsidRPr="00000000" w14:paraId="0000007C">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7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 </w:t>
            </w:r>
            <w:r w:rsidDel="00000000" w:rsidR="00000000" w:rsidRPr="00000000">
              <w:rPr>
                <w:rFonts w:ascii="Calibri" w:cs="Calibri" w:eastAsia="Calibri" w:hAnsi="Calibri"/>
                <w:i w:val="1"/>
                <w:iCs w:val="1"/>
                <w:color w:val="548dd4"/>
                <w:sz w:val="20"/>
                <w:szCs w:val="20"/>
                <w:rtl w:val="0"/>
              </w:rPr>
              <w:t xml:space="preserve">Se implementará una arquitectura basada en Microservicios (Microservices Architecture) combinada con el patrón API Gateway y un gestor de identidades centralizado de terceros (Keycloak). El sistema delegará toda la responsabilidad de autenticación (Login/SSO) e identidades a Keycloak. Los microservicios operarán únicamente como Resource Servers, validando las firmas de los tokens JWT emitidos, separando totalmente la lógica de seguridad estricta de la lógica de negocio.</w:t>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1">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 Java 21 para el Backend y JS, CSS3 y HTML5 para el Frontend</w:t>
            </w:r>
            <w:r w:rsidDel="00000000" w:rsidR="00000000" w:rsidRPr="00000000">
              <w:rPr>
                <w:rtl w:val="0"/>
              </w:rPr>
            </w:r>
          </w:p>
          <w:p w:rsidR="00000000" w:rsidDel="00000000" w:rsidP="00000000" w:rsidRDefault="00000000" w:rsidRPr="00000000" w14:paraId="0000008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 </w:t>
            </w:r>
          </w:p>
          <w:p w:rsidR="00000000" w:rsidDel="00000000" w:rsidP="00000000" w:rsidRDefault="00000000" w:rsidRPr="00000000" w14:paraId="00000085">
            <w:pPr>
              <w:numPr>
                <w:ilvl w:val="0"/>
                <w:numId w:val="2"/>
              </w:numPr>
              <w:spacing w:line="259" w:lineRule="auto"/>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principal Backend: Spring Boot 3.5.</w:t>
            </w:r>
          </w:p>
          <w:p w:rsidR="00000000" w:rsidDel="00000000" w:rsidP="00000000" w:rsidRDefault="00000000" w:rsidRPr="00000000" w14:paraId="00000086">
            <w:pPr>
              <w:numPr>
                <w:ilvl w:val="0"/>
                <w:numId w:val="2"/>
              </w:numPr>
              <w:spacing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Gestión de Identidad y Acceso : Keycloak </w:t>
            </w:r>
            <w:r w:rsidDel="00000000" w:rsidR="00000000" w:rsidRPr="00000000">
              <w:rPr>
                <w:rFonts w:ascii="Calibri" w:cs="Calibri" w:eastAsia="Calibri" w:hAnsi="Calibri"/>
                <w:i w:val="1"/>
                <w:iCs w:val="1"/>
                <w:color w:val="548dd4"/>
                <w:sz w:val="20"/>
                <w:szCs w:val="20"/>
                <w:rtl w:val="0"/>
              </w:rPr>
              <w:t xml:space="preserve">(Servidor central para Single Sign-On, OpenID Connect y emisión de tokens OAuth2 / JWT).</w:t>
            </w:r>
          </w:p>
          <w:p w:rsidR="00000000" w:rsidDel="00000000" w:rsidP="00000000" w:rsidRDefault="00000000" w:rsidRPr="00000000" w14:paraId="00000087">
            <w:pPr>
              <w:numPr>
                <w:ilvl w:val="0"/>
                <w:numId w:val="2"/>
              </w:numPr>
              <w:spacing w:line="259" w:lineRule="auto"/>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Dependencias Backend: Spring Cloud API Gateway (Para enrutamiento central), Spring Security &amp; OAuth2 Resource Server (Para la validación de tokens de Keycloak en cada microservicio), Spring Data JPA / Hibernate (ORM) y Project Lombok.</w:t>
            </w:r>
          </w:p>
          <w:p w:rsidR="00000000" w:rsidDel="00000000" w:rsidP="00000000" w:rsidRDefault="00000000" w:rsidRPr="00000000" w14:paraId="00000088">
            <w:pPr>
              <w:numPr>
                <w:ilvl w:val="0"/>
                <w:numId w:val="2"/>
              </w:numPr>
              <w:spacing w:line="259" w:lineRule="auto"/>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Librerías/Gestores: Maven, MySQL Connector/J y librerías para envíos automatizados por correo electrónico.</w:t>
            </w:r>
          </w:p>
          <w:p w:rsidR="00000000" w:rsidDel="00000000" w:rsidP="00000000" w:rsidRDefault="00000000" w:rsidRPr="00000000" w14:paraId="00000089">
            <w:pPr>
              <w:numPr>
                <w:ilvl w:val="0"/>
                <w:numId w:val="2"/>
              </w:numPr>
              <w:spacing w:line="259" w:lineRule="auto"/>
              <w:ind w:left="720" w:hanging="360"/>
              <w:jc w:val="both"/>
              <w:rPr>
                <w:rFonts w:ascii="Calibri" w:cs="Calibri" w:eastAsia="Calibri" w:hAnsi="Calibri"/>
                <w:i w:val="1"/>
                <w:iCs w:val="1"/>
                <w:color w:val="548dd4"/>
                <w:sz w:val="20"/>
                <w:szCs w:val="20"/>
                <w:u w:val="none"/>
              </w:rPr>
            </w:pPr>
            <w:r w:rsidDel="00000000" w:rsidR="00000000" w:rsidRPr="00000000">
              <w:rPr>
                <w:rtl w:val="0"/>
              </w:rPr>
            </w:r>
          </w:p>
          <w:p w:rsidR="00000000" w:rsidDel="00000000" w:rsidP="00000000" w:rsidRDefault="00000000" w:rsidRPr="00000000" w14:paraId="0000008A">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 </w:t>
            </w:r>
            <w:r w:rsidDel="00000000" w:rsidR="00000000" w:rsidRPr="00000000">
              <w:rPr>
                <w:rFonts w:ascii="Calibri" w:cs="Calibri" w:eastAsia="Calibri" w:hAnsi="Calibri"/>
                <w:color w:val="548dd4"/>
                <w:sz w:val="20"/>
                <w:szCs w:val="20"/>
                <w:rtl w:val="0"/>
              </w:rPr>
              <w:t xml:space="preserve">MySQL</w:t>
            </w:r>
          </w:p>
          <w:p w:rsidR="00000000" w:rsidDel="00000000" w:rsidP="00000000" w:rsidRDefault="00000000" w:rsidRPr="00000000" w14:paraId="0000008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D">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w:t>
            </w:r>
            <w:r w:rsidDel="00000000" w:rsidR="00000000" w:rsidRPr="00000000">
              <w:rPr>
                <w:rFonts w:ascii="Calibri" w:cs="Calibri" w:eastAsia="Calibri" w:hAnsi="Calibri"/>
                <w:i w:val="1"/>
                <w:iCs w:val="1"/>
                <w:color w:val="548dd4"/>
                <w:sz w:val="20"/>
                <w:szCs w:val="20"/>
                <w:rtl w:val="0"/>
              </w:rPr>
              <w:t xml:space="preserve">Se utilizará el sistema de control de versiones distribuido Git, albergando el código fuente en una plataforma remota (como GitHub o GitLab). El trabajo se gestionará mediante estrategias de flujo de ramas o Branching</w:t>
            </w: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E">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tbl>
      <w:tblPr>
        <w:tblStyle w:val="Table15"/>
        <w:tblW w:w="10725.0" w:type="dxa"/>
        <w:jc w:val="left"/>
        <w:tblInd w:w="-40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735"/>
        <w:gridCol w:w="1530"/>
        <w:gridCol w:w="3000"/>
        <w:gridCol w:w="1545"/>
        <w:gridCol w:w="1065"/>
        <w:gridCol w:w="1065"/>
        <w:gridCol w:w="1785"/>
        <w:tblGridChange w:id="0">
          <w:tblGrid>
            <w:gridCol w:w="735"/>
            <w:gridCol w:w="1530"/>
            <w:gridCol w:w="3000"/>
            <w:gridCol w:w="1545"/>
            <w:gridCol w:w="1065"/>
            <w:gridCol w:w="1065"/>
            <w:gridCol w:w="1785"/>
          </w:tblGrid>
        </w:tblGridChange>
      </w:tblGrid>
      <w:tr>
        <w:trPr>
          <w:cantSplit w:val="0"/>
          <w:trHeight w:val="1168.891601562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4">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A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1092.729492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rPr>
                <w:rFonts w:ascii="Calibri" w:cs="Calibri" w:eastAsia="Calibri" w:hAnsi="Calibri"/>
                <w:i w:val="1"/>
                <w:iCs w:val="1"/>
                <w:color w:val="548dd4"/>
                <w:sz w:val="18"/>
                <w:szCs w:val="18"/>
              </w:rPr>
            </w:pPr>
            <w:r w:rsidDel="00000000" w:rsidR="00000000" w:rsidRPr="00000000">
              <w:rPr>
                <w:rtl w:val="0"/>
              </w:rPr>
            </w:r>
          </w:p>
          <w:tbl>
            <w:tblPr>
              <w:tblStyle w:val="Table16"/>
              <w:tblW w:w="1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tblGridChange w:id="0">
                <w:tblGrid>
                  <w:gridCol w:w="1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259" w:lineRule="auto"/>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Levantamiento de requerimientos</w:t>
                  </w:r>
                </w:p>
              </w:tc>
            </w:tr>
          </w:tbl>
          <w:p w:rsidR="00000000" w:rsidDel="00000000" w:rsidP="00000000" w:rsidRDefault="00000000" w:rsidRPr="00000000" w14:paraId="000000AB">
            <w:pPr>
              <w:spacing w:line="259" w:lineRule="auto"/>
              <w:rPr>
                <w:rFonts w:ascii="Calibri" w:cs="Calibri" w:eastAsia="Calibri" w:hAnsi="Calibri"/>
                <w:i w:val="1"/>
                <w:iCs w:val="1"/>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Definir funcionalidades del sistema (usuarios, siniestros, vehículos, documentos)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Reuniones equipo, documentos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A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both"/>
              <w:rPr>
                <w:rFonts w:ascii="Calibri" w:cs="Calibri" w:eastAsia="Calibri" w:hAnsi="Calibri"/>
                <w:i w:val="1"/>
                <w:iCs w:val="1"/>
                <w:color w:val="548dd4"/>
                <w:sz w:val="18"/>
                <w:szCs w:val="18"/>
              </w:rPr>
            </w:pPr>
            <w:r w:rsidDel="00000000" w:rsidR="00000000" w:rsidRPr="00000000">
              <w:rPr>
                <w:rtl w:val="0"/>
              </w:rPr>
            </w:r>
          </w:p>
          <w:tbl>
            <w:tblPr>
              <w:tblStyle w:val="Table17"/>
              <w:tblW w:w="1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tblGridChange w:id="0">
                <w:tblGrid>
                  <w:gridCol w:w="1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line="259" w:lineRule="auto"/>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Nicolás (Analista)</w:t>
                  </w:r>
                </w:p>
              </w:tc>
            </w:tr>
          </w:tbl>
          <w:p w:rsidR="00000000" w:rsidDel="00000000" w:rsidP="00000000" w:rsidRDefault="00000000" w:rsidRPr="00000000" w14:paraId="000000B2">
            <w:pPr>
              <w:spacing w:line="259" w:lineRule="auto"/>
              <w:jc w:val="both"/>
              <w:rPr>
                <w:rFonts w:ascii="Calibri" w:cs="Calibri" w:eastAsia="Calibri" w:hAnsi="Calibri"/>
                <w:i w:val="1"/>
                <w:iCs w:val="1"/>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i w:val="1"/>
                <w:iCs w:val="1"/>
                <w:color w:val="548dd4"/>
                <w:sz w:val="18"/>
                <w:szCs w:val="18"/>
              </w:rPr>
            </w:pPr>
            <w:r w:rsidDel="00000000" w:rsidR="00000000" w:rsidRPr="00000000">
              <w:rPr>
                <w:rtl w:val="0"/>
              </w:rPr>
            </w:r>
          </w:p>
          <w:tbl>
            <w:tblPr>
              <w:tblStyle w:val="Table18"/>
              <w:tblW w:w="1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tblGridChange w:id="0">
                <w:tblGrid>
                  <w:gridCol w:w="1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Validar que todos entiendan el alcance</w:t>
                  </w:r>
                </w:p>
              </w:tc>
            </w:tr>
          </w:tbl>
          <w:p w:rsidR="00000000" w:rsidDel="00000000" w:rsidP="00000000" w:rsidRDefault="00000000" w:rsidRPr="00000000" w14:paraId="000000B5">
            <w:pPr>
              <w:spacing w:line="259" w:lineRule="auto"/>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16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19"/>
              <w:tblW w:w="2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tblGridChange w:id="0">
                <w:tblGrid>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w:t>
                  </w:r>
                </w:p>
                <w:p w:rsidR="00000000" w:rsidDel="00000000" w:rsidP="00000000" w:rsidRDefault="00000000" w:rsidRPr="00000000" w14:paraId="000000B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base de datos</w:t>
                  </w:r>
                </w:p>
              </w:tc>
            </w:tr>
          </w:tbl>
          <w:p w:rsidR="00000000" w:rsidDel="00000000" w:rsidP="00000000" w:rsidRDefault="00000000" w:rsidRPr="00000000" w14:paraId="000000BA">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modelo relacional (MER) en MySQL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Data Modeler, MySQL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D">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BF">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21"/>
              <w:tblW w:w="1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tblGridChange w:id="0">
                <w:tblGrid>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r>
          </w:tbl>
          <w:p w:rsidR="00000000" w:rsidDel="00000000" w:rsidP="00000000" w:rsidRDefault="00000000" w:rsidRPr="00000000" w14:paraId="000000C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22"/>
              <w:tblW w:w="1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tblGridChange w:id="0">
                <w:tblGrid>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Matías </w:t>
                  </w:r>
                </w:p>
                <w:p w:rsidR="00000000" w:rsidDel="00000000" w:rsidP="00000000" w:rsidRDefault="00000000" w:rsidRPr="00000000" w14:paraId="000000C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(DBA)</w:t>
                  </w:r>
                </w:p>
              </w:tc>
            </w:tr>
          </w:tbl>
          <w:p w:rsidR="00000000" w:rsidDel="00000000" w:rsidP="00000000" w:rsidRDefault="00000000" w:rsidRPr="00000000" w14:paraId="000000C5">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23"/>
              <w:tblW w:w="3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tblGridChange w:id="0">
                <w:tblGrid>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Revisar </w:t>
                  </w:r>
                </w:p>
                <w:p w:rsidR="00000000" w:rsidDel="00000000" w:rsidP="00000000" w:rsidRDefault="00000000" w:rsidRPr="00000000" w14:paraId="000000C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relaciones y </w:t>
                  </w:r>
                </w:p>
                <w:p w:rsidR="00000000" w:rsidDel="00000000" w:rsidP="00000000" w:rsidRDefault="00000000" w:rsidRPr="00000000" w14:paraId="000000C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normalización</w:t>
                  </w:r>
                </w:p>
              </w:tc>
            </w:tr>
          </w:tbl>
          <w:p w:rsidR="00000000" w:rsidDel="00000000" w:rsidP="00000000" w:rsidRDefault="00000000" w:rsidRPr="00000000" w14:paraId="000000CA">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center"/>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CC">
            <w:pPr>
              <w:spacing w:line="259" w:lineRule="auto"/>
              <w:jc w:val="center"/>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CD">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24"/>
              <w:tblW w:w="2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tblGridChange w:id="0">
                <w:tblGrid>
                  <w:gridCol w:w="2405"/>
                </w:tblGrid>
              </w:tblGridChange>
            </w:tblGrid>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w:t>
                  </w:r>
                </w:p>
                <w:p w:rsidR="00000000" w:rsidDel="00000000" w:rsidP="00000000" w:rsidRDefault="00000000" w:rsidRPr="00000000" w14:paraId="000000D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arquitectura</w:t>
                  </w:r>
                </w:p>
              </w:tc>
            </w:tr>
          </w:tbl>
          <w:p w:rsidR="00000000" w:rsidDel="00000000" w:rsidP="00000000" w:rsidRDefault="00000000" w:rsidRPr="00000000" w14:paraId="000000D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D3">
            <w:pPr>
              <w:spacing w:line="259" w:lineRule="auto"/>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D4">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Definir microservicios, API Gateway y flujo    general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Diagramas, documentación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25"/>
              <w:tblW w:w="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tblGridChange w:id="0">
                <w:tblGrid>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Nicolás</w:t>
                  </w:r>
                </w:p>
              </w:tc>
            </w:tr>
          </w:tbl>
          <w:p w:rsidR="00000000" w:rsidDel="00000000" w:rsidP="00000000" w:rsidRDefault="00000000" w:rsidRPr="00000000" w14:paraId="000000D9">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Asegurar escalabilidad</w:t>
            </w:r>
          </w:p>
        </w:tc>
      </w:tr>
      <w:tr>
        <w:trPr>
          <w:cantSplit w:val="0"/>
          <w:trHeight w:val="1338.48632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p w:rsidR="00000000" w:rsidDel="00000000" w:rsidP="00000000" w:rsidRDefault="00000000" w:rsidRPr="00000000" w14:paraId="000000DC">
            <w:pPr>
              <w:spacing w:line="259" w:lineRule="auto"/>
              <w:jc w:val="left"/>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26"/>
              <w:tblW w:w="7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5"/>
              <w:tblGridChange w:id="0">
                <w:tblGrid>
                  <w:gridCol w:w="7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Implementar microservicios </w:t>
                  </w:r>
                </w:p>
                <w:p w:rsidR="00000000" w:rsidDel="00000000" w:rsidP="00000000" w:rsidRDefault="00000000" w:rsidRPr="00000000" w14:paraId="000000E0">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(usuarios, siniestros, documentos, </w:t>
                  </w:r>
                </w:p>
                <w:p w:rsidR="00000000" w:rsidDel="00000000" w:rsidP="00000000" w:rsidRDefault="00000000" w:rsidRPr="00000000" w14:paraId="000000E1">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vehículos)</w:t>
                  </w:r>
                </w:p>
              </w:tc>
            </w:tr>
          </w:tbl>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Spring Boot, Java 21</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27"/>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 semanas</w:t>
                  </w:r>
                </w:p>
              </w:tc>
            </w:tr>
          </w:tbl>
          <w:p w:rsidR="00000000" w:rsidDel="00000000" w:rsidP="00000000" w:rsidRDefault="00000000" w:rsidRPr="00000000" w14:paraId="000000E6">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Axel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28"/>
              <w:tblW w:w="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tblGridChange w:id="0">
                <w:tblGrid>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Separar bien</w:t>
                  </w:r>
                </w:p>
                <w:p w:rsidR="00000000" w:rsidDel="00000000" w:rsidP="00000000" w:rsidRDefault="00000000" w:rsidRPr="00000000" w14:paraId="000000E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responsabilidades</w:t>
                  </w:r>
                </w:p>
              </w:tc>
            </w:tr>
          </w:tbl>
          <w:p w:rsidR="00000000" w:rsidDel="00000000" w:rsidP="00000000" w:rsidRDefault="00000000" w:rsidRPr="00000000" w14:paraId="000000EB">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interfaz web y dashboard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29"/>
              <w:tblW w:w="1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tblGridChange w:id="0">
                <w:tblGrid>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HTML, CSS, JS</w:t>
                  </w:r>
                </w:p>
              </w:tc>
            </w:tr>
          </w:tbl>
          <w:p w:rsidR="00000000" w:rsidDel="00000000" w:rsidP="00000000" w:rsidRDefault="00000000" w:rsidRPr="00000000" w14:paraId="000000F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30"/>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 semanas</w:t>
                  </w:r>
                </w:p>
              </w:tc>
            </w:tr>
          </w:tbl>
          <w:p w:rsidR="00000000" w:rsidDel="00000000" w:rsidP="00000000" w:rsidRDefault="00000000" w:rsidRPr="00000000" w14:paraId="000000F4">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31"/>
              <w:tblW w:w="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tblGridChange w:id="0">
                <w:tblGrid>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Matías</w:t>
                  </w:r>
                </w:p>
              </w:tc>
            </w:tr>
          </w:tbl>
          <w:p w:rsidR="00000000" w:rsidDel="00000000" w:rsidP="00000000" w:rsidRDefault="00000000" w:rsidRPr="00000000" w14:paraId="000000F7">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32"/>
              <w:tblW w:w="1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tblGridChange w:id="0">
                <w:tblGrid>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Enfocado en UX</w:t>
                  </w:r>
                </w:p>
              </w:tc>
            </w:tr>
          </w:tbl>
          <w:p w:rsidR="00000000" w:rsidDel="00000000" w:rsidP="00000000" w:rsidRDefault="00000000" w:rsidRPr="00000000" w14:paraId="000000FA">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Integración y seguridad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Implementar autenticación con Keycloak y JWT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Keycloak, Spring Security</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F">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33"/>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r>
          </w:tbl>
          <w:p w:rsidR="00000000" w:rsidDel="00000000" w:rsidP="00000000" w:rsidRDefault="00000000" w:rsidRPr="00000000" w14:paraId="0000010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34"/>
              <w:tblW w:w="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tblGridChange w:id="0">
                <w:tblGrid>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Nicolás</w:t>
                  </w:r>
                </w:p>
              </w:tc>
            </w:tr>
          </w:tbl>
          <w:p w:rsidR="00000000" w:rsidDel="00000000" w:rsidP="00000000" w:rsidRDefault="00000000" w:rsidRPr="00000000" w14:paraId="00000104">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Probar accesos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unitarias e integración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35"/>
              <w:tblW w:w="1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tblGridChange w:id="0">
                <w:tblGrid>
                  <w:gridCol w:w="1820"/>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Postman, testing</w:t>
                  </w:r>
                </w:p>
              </w:tc>
            </w:tr>
          </w:tbl>
          <w:p w:rsidR="00000000" w:rsidDel="00000000" w:rsidP="00000000" w:rsidRDefault="00000000" w:rsidRPr="00000000" w14:paraId="0000010B">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36"/>
              <w:tblW w:w="2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tblGridChange w:id="0">
                <w:tblGrid>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Detectar errores</w:t>
                  </w:r>
                </w:p>
                <w:p w:rsidR="00000000" w:rsidDel="00000000" w:rsidP="00000000" w:rsidRDefault="00000000" w:rsidRPr="00000000" w14:paraId="0000011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críticos</w:t>
                  </w:r>
                </w:p>
              </w:tc>
            </w:tr>
          </w:tbl>
          <w:p w:rsidR="00000000" w:rsidDel="00000000" w:rsidP="00000000" w:rsidRDefault="00000000" w:rsidRPr="00000000" w14:paraId="00000111">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37"/>
              <w:tblW w:w="1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tblGridChange w:id="0">
                <w:tblGrid>
                  <w:gridCol w:w="1310"/>
                </w:tblGrid>
              </w:tblGridChange>
            </w:tblGrid>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Despliegue</w:t>
                  </w:r>
                </w:p>
              </w:tc>
            </w:tr>
          </w:tbl>
          <w:p w:rsidR="00000000" w:rsidDel="00000000" w:rsidP="00000000" w:rsidRDefault="00000000" w:rsidRPr="00000000" w14:paraId="00000115">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38"/>
              <w:tblW w:w="3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tblGridChange w:id="0">
                <w:tblGrid>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Configurar Docker y Docker Compose</w:t>
                  </w:r>
                </w:p>
              </w:tc>
            </w:tr>
          </w:tbl>
          <w:p w:rsidR="00000000" w:rsidDel="00000000" w:rsidP="00000000" w:rsidRDefault="00000000" w:rsidRPr="00000000" w14:paraId="00000118">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Docker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39"/>
              <w:tblW w:w="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tblGridChange w:id="0">
                <w:tblGrid>
                  <w:gridCol w:w="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Axel</w:t>
                  </w:r>
                </w:p>
              </w:tc>
            </w:tr>
          </w:tbl>
          <w:p w:rsidR="00000000" w:rsidDel="00000000" w:rsidP="00000000" w:rsidRDefault="00000000" w:rsidRPr="00000000" w14:paraId="0000011D">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40"/>
              <w:tblW w:w="3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tblGridChange w:id="0">
                <w:tblGrid>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Verificar </w:t>
                  </w:r>
                </w:p>
                <w:p w:rsidR="00000000" w:rsidDel="00000000" w:rsidP="00000000" w:rsidRDefault="00000000" w:rsidRPr="00000000" w14:paraId="0000012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funcionamiento completo</w:t>
                  </w:r>
                </w:p>
              </w:tc>
            </w:tr>
          </w:tbl>
          <w:p w:rsidR="00000000" w:rsidDel="00000000" w:rsidP="00000000" w:rsidRDefault="00000000" w:rsidRPr="00000000" w14:paraId="00000121">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122">
      <w:pPr>
        <w:spacing w:line="360" w:lineRule="auto"/>
        <w:jc w:val="both"/>
        <w:rPr>
          <w:rFonts w:ascii="Calibri" w:cs="Calibri" w:eastAsia="Calibri" w:hAnsi="Calibri"/>
        </w:rPr>
      </w:pPr>
      <w:bookmarkStart w:colFirst="0" w:colLast="0" w:name="_heading=h.cb5enz6gviky" w:id="2"/>
      <w:bookmarkEnd w:id="2"/>
      <w:r w:rsidDel="00000000" w:rsidR="00000000" w:rsidRPr="00000000">
        <w:rPr>
          <w:rtl w:val="0"/>
        </w:rPr>
      </w:r>
    </w:p>
    <w:p w:rsidR="00000000" w:rsidDel="00000000" w:rsidP="00000000" w:rsidRDefault="00000000" w:rsidRPr="00000000" w14:paraId="00000123">
      <w:pPr>
        <w:spacing w:line="360" w:lineRule="auto"/>
        <w:jc w:val="both"/>
        <w:rPr>
          <w:rFonts w:ascii="Calibri" w:cs="Calibri" w:eastAsia="Calibri" w:hAnsi="Calibri"/>
        </w:rPr>
      </w:pPr>
      <w:bookmarkStart w:colFirst="0" w:colLast="0" w:name="_heading=h.7gnh7xl61bj2" w:id="3"/>
      <w:bookmarkEnd w:id="3"/>
      <w:r w:rsidDel="00000000" w:rsidR="00000000" w:rsidRPr="00000000">
        <w:rPr>
          <w:rtl w:val="0"/>
        </w:rPr>
      </w:r>
    </w:p>
    <w:p w:rsidR="00000000" w:rsidDel="00000000" w:rsidP="00000000" w:rsidRDefault="00000000" w:rsidRPr="00000000" w14:paraId="00000124">
      <w:pPr>
        <w:spacing w:line="360" w:lineRule="auto"/>
        <w:jc w:val="both"/>
        <w:rPr>
          <w:rFonts w:ascii="Calibri" w:cs="Calibri" w:eastAsia="Calibri" w:hAnsi="Calibri"/>
        </w:rPr>
      </w:pPr>
      <w:bookmarkStart w:colFirst="0" w:colLast="0" w:name="_heading=h.13tfxza4ztsw" w:id="4"/>
      <w:bookmarkEnd w:id="4"/>
      <w:r w:rsidDel="00000000" w:rsidR="00000000" w:rsidRPr="00000000">
        <w:rPr>
          <w:rtl w:val="0"/>
        </w:rPr>
      </w:r>
    </w:p>
    <w:p w:rsidR="00000000" w:rsidDel="00000000" w:rsidP="00000000" w:rsidRDefault="00000000" w:rsidRPr="00000000" w14:paraId="00000125">
      <w:pPr>
        <w:spacing w:line="360" w:lineRule="auto"/>
        <w:jc w:val="both"/>
        <w:rPr>
          <w:rFonts w:ascii="Calibri" w:cs="Calibri" w:eastAsia="Calibri" w:hAnsi="Calibri"/>
        </w:rPr>
      </w:pPr>
      <w:bookmarkStart w:colFirst="0" w:colLast="0" w:name="_heading=h.ola1teuhppyt" w:id="5"/>
      <w:bookmarkEnd w:id="5"/>
      <w:r w:rsidDel="00000000" w:rsidR="00000000" w:rsidRPr="00000000">
        <w:rPr>
          <w:rtl w:val="0"/>
        </w:rPr>
      </w:r>
    </w:p>
    <w:tbl>
      <w:tblPr>
        <w:tblStyle w:val="Table4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28">
      <w:pPr>
        <w:spacing w:line="360" w:lineRule="auto"/>
        <w:jc w:val="both"/>
        <w:rPr>
          <w:rFonts w:ascii="Calibri" w:cs="Calibri" w:eastAsia="Calibri" w:hAnsi="Calibri"/>
          <w:color w:val="000000"/>
        </w:rPr>
      </w:pPr>
      <w:r w:rsidDel="00000000" w:rsidR="00000000" w:rsidRPr="00000000">
        <w:rPr>
          <w:rtl w:val="0"/>
        </w:rPr>
      </w:r>
    </w:p>
    <w:tbl>
      <w:tblPr>
        <w:tblStyle w:val="Table42"/>
        <w:tblW w:w="10965.0" w:type="dxa"/>
        <w:jc w:val="left"/>
        <w:tblInd w:w="-88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30"/>
        <w:gridCol w:w="2940"/>
        <w:gridCol w:w="4650"/>
        <w:gridCol w:w="2445"/>
        <w:tblGridChange w:id="0">
          <w:tblGrid>
            <w:gridCol w:w="930"/>
            <w:gridCol w:w="2940"/>
            <w:gridCol w:w="4650"/>
            <w:gridCol w:w="244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2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i w:val="1"/>
                <w:iCs w:val="1"/>
                <w:color w:val="5b9bd5"/>
                <w:sz w:val="20"/>
                <w:szCs w:val="20"/>
                <w:rtl w:val="0"/>
              </w:rPr>
              <w:t xml:space="preserve">Diagrama Entidad-Relación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548dd4"/>
                <w:sz w:val="16"/>
                <w:szCs w:val="16"/>
                <w:u w:val="none"/>
                <w:vertAlign w:val="baseline"/>
              </w:rPr>
            </w:pPr>
            <w:r w:rsidDel="00000000" w:rsidR="00000000" w:rsidRPr="00000000">
              <w:rPr>
                <w:rFonts w:ascii="Calibri" w:cs="Calibri" w:eastAsia="Calibri" w:hAnsi="Calibri"/>
                <w:color w:val="548dd4"/>
                <w:sz w:val="18"/>
                <w:szCs w:val="18"/>
                <w:rtl w:val="0"/>
              </w:rPr>
              <w:t xml:space="preserve">Este modelo de base de datos relacional estructura un sistema integral de Gestión de Seguros enfocado en coberturas vehiculares. En su núcleo, administra Pólizas adquiridas por un contratante para proteger diversos vehículos asociados a operaciones o locaciones específicas. Cuando ocurre un accidente, el sistema permite que un usuario registre la ubicación, involucrados (terceros) y el relato del evento a través de un Formulario de incidente, el cual luego desencadena la apertura de un expediente formal contable llamado Siniestro. A partir de este punto, el modelo rastrea todo el flujo del accidente, evaluando costos, deducibles aplicados e indemnizaciones bajo la póliza correspondiente, permitiendo monitorear su evolución por diferentes estados hasta llegar a su Cierre definitivo.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tabs>
                <w:tab w:val="center" w:leader="none" w:pos="4419"/>
                <w:tab w:val="right" w:leader="none" w:pos="8838"/>
              </w:tabs>
              <w:jc w:val="both"/>
              <w:rPr>
                <w:rFonts w:ascii="Calibri" w:cs="Calibri" w:eastAsia="Calibri" w:hAnsi="Calibri"/>
                <w:color w:val="1f4e79"/>
                <w:sz w:val="22"/>
                <w:szCs w:val="22"/>
              </w:rPr>
            </w:pPr>
            <w:hyperlink r:id="rId11">
              <w:r w:rsidDel="00000000" w:rsidR="00000000" w:rsidRPr="00000000">
                <w:rPr>
                  <w:rFonts w:ascii="Calibri" w:cs="Calibri" w:eastAsia="Calibri" w:hAnsi="Calibri"/>
                  <w:color w:val="1155cc"/>
                  <w:sz w:val="22"/>
                  <w:szCs w:val="22"/>
                  <w:u w:val="single"/>
                  <w:rtl w:val="0"/>
                </w:rPr>
                <w:t xml:space="preserve">MER</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tabs>
                <w:tab w:val="center" w:leader="none" w:pos="4419"/>
                <w:tab w:val="right" w:leader="none" w:pos="8838"/>
              </w:tabs>
              <w:jc w:val="both"/>
              <w:rPr>
                <w:rFonts w:ascii="Calibri" w:cs="Calibri" w:eastAsia="Calibri" w:hAnsi="Calibri"/>
                <w:color w:val="548dd4"/>
                <w:sz w:val="22"/>
                <w:szCs w:val="22"/>
              </w:rPr>
            </w:pPr>
            <w:r w:rsidDel="00000000" w:rsidR="00000000" w:rsidRPr="00000000">
              <w:rPr>
                <w:rFonts w:ascii="Calibri" w:cs="Calibri" w:eastAsia="Calibri" w:hAnsi="Calibri"/>
                <w:color w:val="548dd4"/>
                <w:sz w:val="20"/>
                <w:szCs w:val="20"/>
                <w:rtl w:val="0"/>
              </w:rPr>
              <w:t xml:space="preserve">Documentación de API REST (Swagger/OpenAPI)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tabs>
                <w:tab w:val="center" w:leader="none" w:pos="4419"/>
                <w:tab w:val="right" w:leader="none" w:pos="8838"/>
              </w:tabs>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18"/>
                <w:szCs w:val="18"/>
                <w:rtl w:val="0"/>
              </w:rPr>
              <w:t xml:space="preserve">Especificación técnica formal de los endpoints expuestos por el backend. Define las rutas, métodos HTTP (GET, POST), parámetros requeridos, estructuras de los objetos JSON (DTOs) de respuesta y códigos de estado, sirviendo como contrato fundamental entre el backend y el frontend.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7">
      <w:pPr>
        <w:spacing w:line="360" w:lineRule="auto"/>
        <w:jc w:val="both"/>
        <w:rPr>
          <w:rFonts w:ascii="Calibri" w:cs="Calibri" w:eastAsia="Calibri" w:hAnsi="Calibri"/>
        </w:rPr>
      </w:pPr>
      <w:r w:rsidDel="00000000" w:rsidR="00000000" w:rsidRPr="00000000">
        <w:rPr>
          <w:rtl w:val="0"/>
        </w:rPr>
      </w:r>
    </w:p>
    <w:tbl>
      <w:tblPr>
        <w:tblStyle w:val="Table4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3A">
      <w:pPr>
        <w:spacing w:line="360" w:lineRule="auto"/>
        <w:jc w:val="both"/>
        <w:rPr>
          <w:rFonts w:ascii="Calibri" w:cs="Calibri" w:eastAsia="Calibri" w:hAnsi="Calibri"/>
          <w:color w:val="000000"/>
        </w:rPr>
      </w:pPr>
      <w:r w:rsidDel="00000000" w:rsidR="00000000" w:rsidRPr="00000000">
        <w:rPr>
          <w:rtl w:val="0"/>
        </w:rPr>
      </w:r>
    </w:p>
    <w:tbl>
      <w:tblPr>
        <w:tblStyle w:val="Table44"/>
        <w:tblW w:w="10785.0" w:type="dxa"/>
        <w:jc w:val="left"/>
        <w:tblInd w:w="-93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235"/>
        <w:gridCol w:w="315"/>
        <w:gridCol w:w="330"/>
        <w:gridCol w:w="360"/>
        <w:gridCol w:w="255"/>
        <w:gridCol w:w="570"/>
        <w:gridCol w:w="735"/>
        <w:gridCol w:w="450"/>
        <w:gridCol w:w="450"/>
        <w:gridCol w:w="450"/>
        <w:gridCol w:w="450"/>
        <w:gridCol w:w="450"/>
        <w:gridCol w:w="450"/>
        <w:gridCol w:w="330"/>
        <w:gridCol w:w="330"/>
        <w:gridCol w:w="330"/>
        <w:gridCol w:w="435"/>
        <w:gridCol w:w="870"/>
        <w:gridCol w:w="990"/>
        <w:tblGridChange w:id="0">
          <w:tblGrid>
            <w:gridCol w:w="2235"/>
            <w:gridCol w:w="315"/>
            <w:gridCol w:w="330"/>
            <w:gridCol w:w="360"/>
            <w:gridCol w:w="255"/>
            <w:gridCol w:w="570"/>
            <w:gridCol w:w="735"/>
            <w:gridCol w:w="450"/>
            <w:gridCol w:w="450"/>
            <w:gridCol w:w="450"/>
            <w:gridCol w:w="450"/>
            <w:gridCol w:w="450"/>
            <w:gridCol w:w="450"/>
            <w:gridCol w:w="330"/>
            <w:gridCol w:w="330"/>
            <w:gridCol w:w="330"/>
            <w:gridCol w:w="435"/>
            <w:gridCol w:w="870"/>
            <w:gridCol w:w="990"/>
          </w:tblGrid>
        </w:tblGridChange>
      </w:tblGrid>
      <w:tr>
        <w:trPr>
          <w:cantSplit w:val="0"/>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3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4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608.90625"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5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5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5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6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rPr>
                <w:rFonts w:ascii="Calibri" w:cs="Calibri" w:eastAsia="Calibri" w:hAnsi="Calibri"/>
                <w:color w:val="548dd4"/>
                <w:sz w:val="16"/>
                <w:szCs w:val="16"/>
              </w:rPr>
            </w:pPr>
            <w:r w:rsidDel="00000000" w:rsidR="00000000" w:rsidRPr="00000000">
              <w:rPr>
                <w:rFonts w:ascii="Calibri" w:cs="Calibri" w:eastAsia="Calibri" w:hAnsi="Calibri"/>
                <w:color w:val="548dd4"/>
                <w:sz w:val="16"/>
                <w:szCs w:val="16"/>
                <w:rtl w:val="0"/>
              </w:rPr>
              <w:t xml:space="preserve">Levantamiento de requerimientos, diseño de base de datos y arquitectura.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color w:val="548dd4"/>
                <w:sz w:val="16"/>
                <w:szCs w:val="16"/>
                <w:rtl w:val="0"/>
              </w:rPr>
              <w:t xml:space="preserve">Desarrollo backend (microservicios) y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color w:val="548dd4"/>
                <w:sz w:val="16"/>
                <w:szCs w:val="16"/>
                <w:rtl w:val="0"/>
              </w:rPr>
              <w:t xml:space="preserve">Integración del sistema, implementación de seguridad y pruebas.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color w:val="548dd4"/>
                <w:sz w:val="16"/>
                <w:szCs w:val="16"/>
                <w:rtl w:val="0"/>
              </w:rPr>
              <w:t xml:space="preserve">Despliegue, documentación final y presentación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bl>
    <w:p w:rsidR="00000000" w:rsidDel="00000000" w:rsidP="00000000" w:rsidRDefault="00000000" w:rsidRPr="00000000" w14:paraId="000001A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0">
      <w:pPr>
        <w:spacing w:line="360" w:lineRule="auto"/>
        <w:jc w:val="both"/>
        <w:rPr>
          <w:rFonts w:ascii="Calibri" w:cs="Calibri" w:eastAsia="Calibri" w:hAnsi="Calibri"/>
        </w:rPr>
      </w:pPr>
      <w:r w:rsidDel="00000000" w:rsidR="00000000" w:rsidRPr="00000000">
        <w:rPr>
          <w:rtl w:val="0"/>
        </w:rPr>
      </w:r>
    </w:p>
    <w:tbl>
      <w:tblPr>
        <w:tblStyle w:val="Table4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B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B3">
            <w:pPr>
              <w:numPr>
                <w:ilvl w:val="0"/>
                <w:numId w:val="1"/>
              </w:numPr>
              <w:spacing w:line="259" w:lineRule="auto"/>
              <w:ind w:left="720" w:hanging="360"/>
              <w:rPr>
                <w:rFonts w:ascii="Calibri" w:cs="Calibri" w:eastAsia="Calibri" w:hAnsi="Calibri"/>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Gestión de Seguridad (IAM) : </w:t>
            </w:r>
            <w:r w:rsidDel="00000000" w:rsidR="00000000" w:rsidRPr="00000000">
              <w:rPr>
                <w:rFonts w:ascii="Calibri" w:cs="Calibri" w:eastAsia="Calibri" w:hAnsi="Calibri"/>
                <w:i w:val="1"/>
                <w:iCs w:val="1"/>
                <w:color w:val="548dd4"/>
                <w:sz w:val="20"/>
                <w:szCs w:val="20"/>
                <w:rtl w:val="0"/>
              </w:rPr>
              <w:t xml:space="preserve">Se incluye la integración con Keycloak para manejar de forma segura y centralizada la autenticación y autorización (roles) de los usuarios internos del sistema de seguros.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1B4">
            <w:pPr>
              <w:numPr>
                <w:ilvl w:val="0"/>
                <w:numId w:val="1"/>
              </w:numPr>
              <w:spacing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Pruebas de API: </w:t>
            </w:r>
            <w:r w:rsidDel="00000000" w:rsidR="00000000" w:rsidRPr="00000000">
              <w:rPr>
                <w:rFonts w:ascii="Calibri" w:cs="Calibri" w:eastAsia="Calibri" w:hAnsi="Calibri"/>
                <w:i w:val="1"/>
                <w:iCs w:val="1"/>
                <w:color w:val="548dd4"/>
                <w:sz w:val="20"/>
                <w:szCs w:val="20"/>
                <w:rtl w:val="0"/>
              </w:rPr>
              <w:t xml:space="preserve">Independiente de la documentación Swagger, se cuenta con una colección de Postman que evidencia las pruebas manuales realizadas a todos los endpoints de los microservicios durante la Fase 2 del desarrollo.</w:t>
            </w:r>
          </w:p>
          <w:p w:rsidR="00000000" w:rsidDel="00000000" w:rsidP="00000000" w:rsidRDefault="00000000" w:rsidRPr="00000000" w14:paraId="000001B5">
            <w:pPr>
              <w:numPr>
                <w:ilvl w:val="0"/>
                <w:numId w:val="1"/>
              </w:numPr>
              <w:spacing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Metodología de Trabajo: El equipo de desarrollo aplicó prácticas ágiles (basadas en Scrum/Kanban) organizando las tareas por "Sprints" a lo largo de las distintas fases descritas en la planificación semestral.</w:t>
            </w:r>
            <w:r w:rsidDel="00000000" w:rsidR="00000000" w:rsidRPr="00000000">
              <w:rPr>
                <w:rtl w:val="0"/>
              </w:rPr>
            </w:r>
          </w:p>
          <w:p w:rsidR="00000000" w:rsidDel="00000000" w:rsidP="00000000" w:rsidRDefault="00000000" w:rsidRPr="00000000" w14:paraId="000001B6">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B7">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B8">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B9">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B">
      <w:pPr>
        <w:spacing w:after="160" w:line="259" w:lineRule="auto"/>
        <w:rPr>
          <w:rFonts w:ascii="Calibri" w:cs="Calibri" w:eastAsia="Calibri" w:hAnsi="Calibri"/>
          <w:color w:val="000000"/>
        </w:rPr>
      </w:pPr>
      <w:r w:rsidDel="00000000" w:rsidR="00000000" w:rsidRPr="00000000">
        <w:rPr>
          <w:rtl w:val="0"/>
        </w:rPr>
      </w:r>
    </w:p>
    <w:sectPr>
      <w:headerReference r:id="rId12" w:type="default"/>
      <w:footerReference r:id="rId13"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1.jpg"/>
          <a:graphic>
            <a:graphicData uri="http://schemas.openxmlformats.org/drawingml/2006/picture">
              <pic:pic>
                <pic:nvPicPr>
                  <pic:cNvPr descr="Texto&#10;&#10;Descripción generada automáticamente con confianza media" id="0" name="image1.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Dc9QecvQ2MEH65FqCNwM0vi42y5vyVLb/view?usp=sharing" TargetMode="Externa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aGcMTaIZPWVVk4Qi5KN7fQOHtw==">CgMxLjAyDmguYzdyZ3dreTVtYzBtMg5oLmJsOHM1cmhnaXo1ZjIOaC5jYjVlbno2Z3Zpa3kyDmguN2duaDd4bDYxYmoyMg5oLjEzdGZ4emE0enRzdzIOaC5vbGExdGV1aHBweXQ4AHIhMXMwb3NVS18yakRwS3FubUkxNHVIY3R5RnhsWVBMVmdF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