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1909" w:type="dxa"/>
        <w:tblInd w:w="-1565" w:type="dxa"/>
        <w:tblLook w:val="04A0" w:firstRow="1" w:lastRow="0" w:firstColumn="1" w:lastColumn="0" w:noHBand="0" w:noVBand="1"/>
      </w:tblPr>
      <w:tblGrid>
        <w:gridCol w:w="2826"/>
        <w:gridCol w:w="3412"/>
        <w:gridCol w:w="2552"/>
        <w:gridCol w:w="3119"/>
      </w:tblGrid>
      <w:tr w:rsidR="00E30BE0" w14:paraId="71ADD871" w14:textId="77777777" w:rsidTr="00E30BE0">
        <w:trPr>
          <w:trHeight w:val="1842"/>
        </w:trPr>
        <w:tc>
          <w:tcPr>
            <w:tcW w:w="2826" w:type="dxa"/>
          </w:tcPr>
          <w:p w14:paraId="409D7C24" w14:textId="20967518" w:rsidR="0070438C" w:rsidRPr="0070438C" w:rsidRDefault="0070438C" w:rsidP="0070438C">
            <w:pPr>
              <w:jc w:val="center"/>
              <w:rPr>
                <w:sz w:val="24"/>
                <w:szCs w:val="24"/>
              </w:rPr>
            </w:pPr>
            <w:r w:rsidRPr="0070438C">
              <w:rPr>
                <w:sz w:val="24"/>
                <w:szCs w:val="24"/>
              </w:rPr>
              <w:t>GEOGRAFICA</w:t>
            </w:r>
          </w:p>
          <w:p w14:paraId="631636B4" w14:textId="2431F83B" w:rsidR="0070438C" w:rsidRDefault="00CB0C1F">
            <w:r>
              <w:rPr>
                <w:noProof/>
              </w:rPr>
              <w:drawing>
                <wp:inline distT="0" distB="0" distL="0" distR="0" wp14:anchorId="6C8D830F" wp14:editId="1B45021D">
                  <wp:extent cx="1647825" cy="1543050"/>
                  <wp:effectExtent l="0" t="0" r="9525" b="0"/>
                  <wp:docPr id="1193397060" name="Imagen 1" descr="Bandera de antioquia: Más de 321 ilustraciones y dibujos de stock con  licencia libres de regalía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Bandera de antioquia: Más de 321 ilustraciones y dibujos de stock con  licencia libres de regalías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967" cy="154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2" w:type="dxa"/>
          </w:tcPr>
          <w:p w14:paraId="5548951B" w14:textId="77777777" w:rsidR="0070438C" w:rsidRPr="007A316D" w:rsidRDefault="0070438C">
            <w:pPr>
              <w:rPr>
                <w:sz w:val="24"/>
                <w:szCs w:val="24"/>
              </w:rPr>
            </w:pPr>
            <w:r w:rsidRPr="007A316D">
              <w:rPr>
                <w:sz w:val="24"/>
                <w:szCs w:val="24"/>
              </w:rPr>
              <w:t>DEMOGRAFICA</w:t>
            </w:r>
          </w:p>
          <w:p w14:paraId="663D9438" w14:textId="2D0CA3CA" w:rsidR="0070438C" w:rsidRPr="007A316D" w:rsidRDefault="0070438C">
            <w:pPr>
              <w:rPr>
                <w:sz w:val="24"/>
                <w:szCs w:val="24"/>
              </w:rPr>
            </w:pPr>
            <w:r w:rsidRPr="007A316D">
              <w:rPr>
                <w:noProof/>
                <w:sz w:val="24"/>
                <w:szCs w:val="24"/>
              </w:rPr>
              <w:drawing>
                <wp:inline distT="0" distB="0" distL="0" distR="0" wp14:anchorId="4E2BB441" wp14:editId="19E9D196">
                  <wp:extent cx="1838325" cy="1533525"/>
                  <wp:effectExtent l="0" t="0" r="9525" b="9525"/>
                  <wp:docPr id="1993182501" name="Imagen 2" descr="demográfico segmentación concepto icono. años y género. tipo de mercado  segmentación resumen idea Delgado línea ilustración. aislado contorno  dibujo. editable carrera 26392819 Vector en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mográfico segmentación concepto icono. años y género. tipo de mercado  segmentación resumen idea Delgado línea ilustración. aislado contorno  dibujo. editable carrera 26392819 Vector en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16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</w:tcPr>
          <w:p w14:paraId="0E57B55E" w14:textId="77777777" w:rsidR="0070438C" w:rsidRDefault="0070438C">
            <w:pPr>
              <w:rPr>
                <w:sz w:val="24"/>
                <w:szCs w:val="24"/>
              </w:rPr>
            </w:pPr>
            <w:r w:rsidRPr="007A316D">
              <w:rPr>
                <w:sz w:val="24"/>
                <w:szCs w:val="24"/>
              </w:rPr>
              <w:t>PSICOGRAFICA</w:t>
            </w:r>
          </w:p>
          <w:p w14:paraId="636C19B5" w14:textId="1E7C3184" w:rsidR="007A316D" w:rsidRPr="007A316D" w:rsidRDefault="007A316D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802F72" wp14:editId="76A01A6F">
                  <wp:extent cx="1257300" cy="1495425"/>
                  <wp:effectExtent l="0" t="0" r="0" b="9525"/>
                  <wp:docPr id="100882695" name="Imagen 3" descr="🎯 ¿Cómo hacer una segmentación psicográfica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🎯 ¿Cómo hacer una segmentación psicográfica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5BA64A82" w14:textId="77777777" w:rsidR="0070438C" w:rsidRDefault="0070438C">
            <w:pPr>
              <w:rPr>
                <w:sz w:val="24"/>
                <w:szCs w:val="24"/>
              </w:rPr>
            </w:pPr>
            <w:r w:rsidRPr="007A316D">
              <w:rPr>
                <w:sz w:val="24"/>
                <w:szCs w:val="24"/>
              </w:rPr>
              <w:t>CONDUCTUAL</w:t>
            </w:r>
          </w:p>
          <w:p w14:paraId="45232E23" w14:textId="4FC5B122" w:rsidR="00CB0C1F" w:rsidRPr="007A316D" w:rsidRDefault="00CB0C1F" w:rsidP="009F409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F41831" wp14:editId="2A07BC85">
                  <wp:extent cx="1248410" cy="1584238"/>
                  <wp:effectExtent l="0" t="0" r="8890" b="0"/>
                  <wp:docPr id="100721286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030" cy="1689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BE0" w14:paraId="0CCB969A" w14:textId="77777777" w:rsidTr="00E30BE0">
        <w:trPr>
          <w:trHeight w:val="10103"/>
        </w:trPr>
        <w:tc>
          <w:tcPr>
            <w:tcW w:w="2826" w:type="dxa"/>
          </w:tcPr>
          <w:p w14:paraId="4CFBC631" w14:textId="22FB9C2C" w:rsidR="00CB0C1F" w:rsidRDefault="00CB0C1F" w:rsidP="00CB0C1F">
            <w:r>
              <w:t xml:space="preserve">La estrategia de TAOP se concentra en zonas urbanas de Antioquia caracterizadas por una alta cultura </w:t>
            </w:r>
            <w:proofErr w:type="spellStart"/>
            <w:r>
              <w:t>pet-friendly</w:t>
            </w:r>
            <w:proofErr w:type="spellEnd"/>
            <w:r w:rsidR="00A069D4">
              <w:t xml:space="preserve">. </w:t>
            </w:r>
          </w:p>
          <w:p w14:paraId="15F3A40F" w14:textId="77FDAC59" w:rsidR="00A069D4" w:rsidRDefault="00CB0C1F" w:rsidP="00CB0C1F">
            <w:r>
              <w:t>Los principales municipios objetivo son:</w:t>
            </w:r>
            <w:r w:rsidR="00E30BE0">
              <w:t xml:space="preserve"> </w:t>
            </w:r>
          </w:p>
          <w:p w14:paraId="59C9D202" w14:textId="77777777" w:rsidR="00E30BE0" w:rsidRDefault="00E30BE0" w:rsidP="00CB0C1F"/>
          <w:p w14:paraId="4FF6C6B9" w14:textId="674AA51D" w:rsidR="00CB0C1F" w:rsidRDefault="00A069D4" w:rsidP="00CB0C1F">
            <w:r>
              <w:t>*</w:t>
            </w:r>
            <w:r w:rsidR="00CB0C1F">
              <w:t xml:space="preserve"> Medellín</w:t>
            </w:r>
          </w:p>
          <w:p w14:paraId="493284A4" w14:textId="77777777" w:rsidR="00CB0C1F" w:rsidRDefault="00CB0C1F" w:rsidP="00CB0C1F">
            <w:r>
              <w:t>* Envigado</w:t>
            </w:r>
          </w:p>
          <w:p w14:paraId="321774D3" w14:textId="77777777" w:rsidR="00CB0C1F" w:rsidRDefault="00CB0C1F" w:rsidP="00CB0C1F">
            <w:r>
              <w:t>* Sabaneta</w:t>
            </w:r>
          </w:p>
          <w:p w14:paraId="48E9960C" w14:textId="77777777" w:rsidR="00CB0C1F" w:rsidRDefault="00CB0C1F" w:rsidP="00CB0C1F">
            <w:r>
              <w:t>* Bello</w:t>
            </w:r>
          </w:p>
          <w:p w14:paraId="442E2A91" w14:textId="77777777" w:rsidR="00CB0C1F" w:rsidRDefault="00CB0C1F" w:rsidP="00CB0C1F">
            <w:r>
              <w:t>* Itagüí</w:t>
            </w:r>
          </w:p>
          <w:p w14:paraId="3A23DF35" w14:textId="77777777" w:rsidR="00CB0C1F" w:rsidRDefault="00CB0C1F" w:rsidP="00CB0C1F">
            <w:r>
              <w:t>* Rionegro</w:t>
            </w:r>
          </w:p>
          <w:p w14:paraId="0D36C8A0" w14:textId="77777777" w:rsidR="00CB0C1F" w:rsidRDefault="00CB0C1F" w:rsidP="00CB0C1F"/>
          <w:p w14:paraId="35555E30" w14:textId="09BB69D6" w:rsidR="0070438C" w:rsidRDefault="00CB0C1F" w:rsidP="00CB0C1F">
            <w:r>
              <w:t>Estas zonas presentan un crecimiento constante en el consumo de productos para mascotas y una mayor adopción de experiencias de compra digitales.</w:t>
            </w:r>
          </w:p>
        </w:tc>
        <w:tc>
          <w:tcPr>
            <w:tcW w:w="3412" w:type="dxa"/>
          </w:tcPr>
          <w:p w14:paraId="312DDB5D" w14:textId="3A1A26CF" w:rsidR="0070438C" w:rsidRDefault="00451D64">
            <w:r w:rsidRPr="00451D64">
              <w:t>Hombres y mujeres entre los 18 y 45 años de edad. Incluye personas solteras, parejas sin hijos y familias nucleares en diferentes etapas del ciclo de vida familiar. En cuanto al nivel socioeconómico, se ubican</w:t>
            </w:r>
            <w:r w:rsidR="00E30BE0">
              <w:t xml:space="preserve"> </w:t>
            </w:r>
            <w:r w:rsidRPr="00451D64">
              <w:t>principalmente en estratos medio-alto y alto, con ingresos estables que les permiten destinar recursos al consumo de bienes y servicios especializados.</w:t>
            </w:r>
            <w:r>
              <w:t xml:space="preserve"> </w:t>
            </w:r>
          </w:p>
          <w:p w14:paraId="270B2A16" w14:textId="3413A59A" w:rsidR="00E30BE0" w:rsidRDefault="00E30BE0">
            <w:r w:rsidRPr="00E30BE0">
              <w:t xml:space="preserve">En términos de nivel educativo, se consideran individuos con formación técnica, tecnológica </w:t>
            </w:r>
            <w:r>
              <w:t xml:space="preserve">o </w:t>
            </w:r>
            <w:proofErr w:type="spellStart"/>
            <w:r>
              <w:t>a</w:t>
            </w:r>
            <w:r w:rsidRPr="00E30BE0">
              <w:t>profesional</w:t>
            </w:r>
            <w:proofErr w:type="spellEnd"/>
            <w:r w:rsidRPr="00E30BE0">
              <w:t xml:space="preserve"> en curso o finalizada, lo que influye en su capacidad de decisión y en la valoración de productos orientados al bienestar y calidad de vida. Finalmente, en cuanto a ocupación, se incluyen estudiantes universitarios, empleados del sector privado, emprendedores y trabajadores independientes, quienes presentan distintos patrones de </w:t>
            </w:r>
            <w:proofErr w:type="gramStart"/>
            <w:r w:rsidRPr="00E30BE0">
              <w:t>consumo</w:t>
            </w:r>
            <w:proofErr w:type="gramEnd"/>
            <w:r w:rsidRPr="00E30BE0">
              <w:t xml:space="preserve"> pero con capacidad de gasto activa.</w:t>
            </w:r>
          </w:p>
        </w:tc>
        <w:tc>
          <w:tcPr>
            <w:tcW w:w="2552" w:type="dxa"/>
          </w:tcPr>
          <w:p w14:paraId="1B5E4BFD" w14:textId="516912F4" w:rsidR="00E30BE0" w:rsidRDefault="00E30BE0" w:rsidP="00E30BE0">
            <w:r>
              <w:t>El público objetivo se caracteriza por ser personas que sienten un fuerte vínculo emocional con sus mascotas y las consideran parte de su familia. Tienen un estilo de vida urbano y buscan comodidad, practicidad y bienestar en su día a día.</w:t>
            </w:r>
          </w:p>
          <w:p w14:paraId="4708F648" w14:textId="77777777" w:rsidR="00E30BE0" w:rsidRDefault="00E30BE0" w:rsidP="00E30BE0"/>
          <w:p w14:paraId="725A4EE1" w14:textId="0B95DA11" w:rsidR="0070438C" w:rsidRDefault="00E30BE0" w:rsidP="00E30BE0">
            <w:r>
              <w:t>Son consumidores que valoran la calidad por encima del precio, muestran interés por productos que mejoren la salud y el bienestar de sus mascotas, y prefieren opciones modernas, funcionales y, en algunos casos, personalizadas. Además, tienden a ser responsables, cuidadosos y comprometidos con el cuidado de sus animales de compañía.</w:t>
            </w:r>
          </w:p>
        </w:tc>
        <w:tc>
          <w:tcPr>
            <w:tcW w:w="3119" w:type="dxa"/>
          </w:tcPr>
          <w:p w14:paraId="7129E33B" w14:textId="545A89D2" w:rsidR="00E30BE0" w:rsidRDefault="00E30BE0" w:rsidP="00E30BE0">
            <w:r>
              <w:t>El público objetivo presenta un comportamiento de compra recurrente en productos y servicios para mascotas, con alta sensibilidad hacia la calidad y los beneficios funcionales y emocionales del producto.</w:t>
            </w:r>
          </w:p>
          <w:p w14:paraId="6EFF4C63" w14:textId="77777777" w:rsidR="00E30BE0" w:rsidRDefault="00E30BE0" w:rsidP="00E30BE0"/>
          <w:p w14:paraId="1E1458CE" w14:textId="77777777" w:rsidR="0070438C" w:rsidRDefault="00E30BE0" w:rsidP="00E30BE0">
            <w:r>
              <w:t>Se identifican consumidores que buscan principalmente beneficios como bienestar, salud, higiene, entretenimiento y seguridad de sus mascotas. Además, son usuarios que tienden a informarse antes de comprar, comparan opciones y valoran recomendaciones y experiencias previas.</w:t>
            </w:r>
          </w:p>
          <w:p w14:paraId="0D90F31F" w14:textId="2CE32C0B" w:rsidR="00E30BE0" w:rsidRDefault="00E30BE0" w:rsidP="00E30BE0">
            <w:proofErr w:type="spellStart"/>
            <w:r>
              <w:t>Tambien</w:t>
            </w:r>
            <w:proofErr w:type="spellEnd"/>
            <w:r>
              <w:t xml:space="preserve"> </w:t>
            </w:r>
            <w:r w:rsidRPr="00E30BE0">
              <w:t>muestran una tendencia a la fidelización cuando encuentran marcas que cumplen con sus expectativas, especialmente en productos personalizados o servicios que mejoran la calidad de vida de sus mascotas.</w:t>
            </w:r>
          </w:p>
        </w:tc>
      </w:tr>
    </w:tbl>
    <w:p w14:paraId="76102537" w14:textId="77777777" w:rsidR="00B867E6" w:rsidRDefault="00B867E6"/>
    <w:sectPr w:rsidR="00B867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0C"/>
    <w:rsid w:val="00391F0C"/>
    <w:rsid w:val="00451D64"/>
    <w:rsid w:val="006D6107"/>
    <w:rsid w:val="0070438C"/>
    <w:rsid w:val="007A316D"/>
    <w:rsid w:val="00884DB1"/>
    <w:rsid w:val="009F4090"/>
    <w:rsid w:val="00A069D4"/>
    <w:rsid w:val="00B867E6"/>
    <w:rsid w:val="00CB0C1F"/>
    <w:rsid w:val="00E30BE0"/>
    <w:rsid w:val="00F2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E8472"/>
  <w15:chartTrackingRefBased/>
  <w15:docId w15:val="{E2C96A11-1B7B-4A71-97C6-D94360C0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4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Granados Botero</dc:creator>
  <cp:keywords/>
  <dc:description/>
  <cp:lastModifiedBy>Maria Alejandra Granados Botero</cp:lastModifiedBy>
  <cp:revision>2</cp:revision>
  <dcterms:created xsi:type="dcterms:W3CDTF">2026-05-20T02:44:00Z</dcterms:created>
  <dcterms:modified xsi:type="dcterms:W3CDTF">2026-05-20T02:44:00Z</dcterms:modified>
</cp:coreProperties>
</file>