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ECO, U. (1992: 49). .</w:t>
      </w:r>
      <w:r>
        <w:rPr>
          <w:iCs/>
          <w:i/>
        </w:rPr>
        <w:t xml:space="preserve">Los límites de la interpretación</w:t>
      </w:r>
      <w:r>
        <w:t xml:space="preserve">. Barcelona: Lumen.</w:t>
      </w:r>
    </w:p>
    <w:p>
      <w:pPr>
        <w:pStyle w:val="BodyText"/>
      </w:pPr>
      <w:r>
        <w:t xml:space="preserve">Aspectos de la semiosis hermética. El Modus, dos modelos de interpretación.</w:t>
      </w:r>
    </w:p>
    <w:p>
      <w:pPr>
        <w:pStyle w:val="BodyText"/>
      </w:pPr>
      <w:r>
        <w:t xml:space="preserve"> </w:t>
      </w:r>
      <w:r>
        <w:t xml:space="preserve">El Modus. Para el racionalismo griego, de Platón a Aristóteles y en adelante, conocer significa conocer a través de la causa.</w:t>
      </w:r>
    </w:p>
    <w:p>
      <w:pPr>
        <w:pStyle w:val="BodyText"/>
      </w:pPr>
      <w:r>
        <w:t xml:space="preserve"> </w:t>
      </w:r>
      <w:r>
        <w:t xml:space="preserve">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w:t>
      </w:r>
      <w:r>
        <w:t xml:space="preserve"> </w:t>
      </w:r>
      <w:r>
        <w:rPr>
          <w:bCs/>
          <w:b/>
        </w:rPr>
        <w:t xml:space="preserve">principio de identidad</w:t>
      </w:r>
      <w:r>
        <w:t xml:space="preserve"> </w:t>
      </w:r>
      <w:r>
        <w:t xml:space="preserve">(A= A),</w:t>
      </w:r>
      <w:r>
        <w:t xml:space="preserve"> </w:t>
      </w:r>
      <w:r>
        <w:rPr>
          <w:bCs/>
          <w:b/>
        </w:rPr>
        <w:t xml:space="preserve">el principio de no contradicción</w:t>
      </w:r>
      <w:r>
        <w:t xml:space="preserve"> </w:t>
      </w:r>
      <w:r>
        <w:t xml:space="preserve">(imposible que algo sea A y no A al mismo tiempo)</w:t>
      </w:r>
      <w:r>
        <w:t xml:space="preserve"> </w:t>
      </w:r>
      <w:r>
        <w:rPr>
          <w:bCs/>
          <w:b/>
        </w:rPr>
        <w:t xml:space="preserve">y el principio de tercero excluido</w:t>
      </w:r>
      <w:r>
        <w:t xml:space="preserve"> </w:t>
      </w:r>
      <w:r>
        <w:t xml:space="preserve">(o A verdadero o A falso y</w:t>
      </w:r>
      <w:r>
        <w:t xml:space="preserve"> </w:t>
      </w:r>
      <w:r>
        <w:rPr>
          <w:iCs/>
          <w:i/>
        </w:rPr>
        <w:t xml:space="preserve">tertium no datur</w:t>
      </w:r>
      <w:r>
        <w:t xml:space="preserve">). De estos principios deriva la forma de razonamiento típica del racionalismo occidental, el</w:t>
      </w:r>
      <w:r>
        <w:t xml:space="preserve"> </w:t>
      </w:r>
      <w:r>
        <w:rPr>
          <w:iCs/>
          <w:i/>
        </w:rPr>
        <w:t xml:space="preserve">modus ponen: si p, entonces q, pero p; entonces q.</w:t>
      </w:r>
    </w:p>
    <w:p>
      <w:pPr>
        <w:pStyle w:val="BodyText"/>
      </w:pPr>
      <w:r>
        <w:t xml:space="preserve">Estos principios prevén, si no el reconocimiento de un orden fijo del mundo, al menos un contrato social. El racionalismo latino acepta los principios del racionalismo griego, pero los transforma y enriquece en sentido jurídico y contractual. La norma lógica es el</w:t>
      </w:r>
      <w:r>
        <w:t xml:space="preserve"> </w:t>
      </w:r>
      <w:r>
        <w:rPr>
          <w:iCs/>
          <w:i/>
        </w:rPr>
        <w:t xml:space="preserve">modus</w:t>
      </w:r>
      <w:r>
        <w:t xml:space="preserve">, pero el</w:t>
      </w:r>
      <w:r>
        <w:t xml:space="preserve"> </w:t>
      </w:r>
      <w:r>
        <w:rPr>
          <w:iCs/>
          <w:i/>
        </w:rPr>
        <w:t xml:space="preserve">modus</w:t>
      </w:r>
      <w:r>
        <w:t xml:space="preserve">, es también el límite, y por tanto, frontera.</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 la semiótica es 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 </w:t>
      </w: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p>
    <w:p>
      <w:pPr>
        <w:pStyle w:val="BodyText"/>
      </w:pPr>
      <w:r>
        <w:t xml:space="preserve"> </w:t>
      </w:r>
      <w:r>
        <w:t xml:space="preserve">Asociar de alguna forma una Y a una X significa usar la una como el significante o la expresión de la otra.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2021-10-22T00:40:28Z</dcterms:created>
  <dcterms:modified xsi:type="dcterms:W3CDTF">2021-10-22T00:40:28Z</dcterms:modified>
</cp:coreProperties>
</file>

<file path=docProps/custom.xml><?xml version="1.0" encoding="utf-8"?>
<Properties xmlns="http://schemas.openxmlformats.org/officeDocument/2006/custom-properties" xmlns:vt="http://schemas.openxmlformats.org/officeDocument/2006/docPropsVTypes"/>
</file>