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89</w:t>
      </w: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P. 90</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w:t>
      </w:r>
      <w:r>
        <w:t xml:space="preserve"> </w:t>
      </w:r>
      <w:r>
        <w:rPr>
          <w:iCs/>
          <w:i/>
        </w:rPr>
        <w:t xml:space="preserve">Pragmática</w:t>
      </w:r>
      <w:r>
        <w:t xml:space="preserve">,. Barcelona: Teide.</w:t>
      </w:r>
    </w:p>
    <w:p>
      <w:pPr>
        <w:pStyle w:val="BodyText"/>
      </w:pPr>
      <w:r>
        <w:t xml:space="preserve">P. 90-91</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91-92</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t xml:space="preserve">LEVINSON, S. (1989).</w:t>
      </w:r>
      <w:r>
        <w:t xml:space="preserve"> </w:t>
      </w:r>
      <w:r>
        <w:rPr>
          <w:iCs/>
          <w:i/>
        </w:rPr>
        <w:t xml:space="preserve">Pragmática</w:t>
      </w:r>
      <w:r>
        <w:t xml:space="preserve">,. Barcelona: Teide.</w:t>
      </w:r>
    </w:p>
    <w:p>
      <w:pPr>
        <w:pStyle w:val="BodyText"/>
      </w:pPr>
      <w:r>
        <w:t xml:space="preserve">P. 92-93-94</w:t>
      </w: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t xml:space="preserve">P. 94</w:t>
      </w:r>
      <w:r>
        <w:t xml:space="preserve"> </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t xml:space="preserve">LEVINSON, S. (1989).</w:t>
      </w:r>
      <w:r>
        <w:t xml:space="preserve"> </w:t>
      </w:r>
      <w:r>
        <w:rPr>
          <w:iCs/>
          <w:i/>
        </w:rPr>
        <w:t xml:space="preserve">Pragmática</w:t>
      </w:r>
      <w:r>
        <w:t xml:space="preserve">,. Barcelona: Teide.</w:t>
      </w:r>
    </w:p>
    <w:p>
      <w:pPr>
        <w:pStyle w:val="BodyText"/>
      </w:pPr>
      <w:r>
        <w:t xml:space="preserve">P. 94-95</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95-96</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96</w:t>
      </w:r>
    </w:p>
    <w:p>
      <w:pPr>
        <w:pStyle w:val="BodyText"/>
      </w:pPr>
      <w:r>
        <w:rPr>
          <w:bCs/>
          <w:b/>
        </w:rPr>
        <w:t xml:space="preserve">Tipos de implicaturas</w:t>
      </w:r>
    </w:p>
    <w:p>
      <w:pPr>
        <w:numPr>
          <w:ilvl w:val="0"/>
          <w:numId w:val="1006"/>
        </w:numPr>
        <w:pStyle w:val="Compact"/>
      </w:pPr>
      <w:r>
        <w:t xml:space="preserve">Implicatura estándar o implicatura generalizada: Son aquellas implicaturas que no requieren especiales condiciones contextuales para ser inferidas.</w:t>
      </w:r>
    </w:p>
    <w:p>
      <w:pPr>
        <w:numPr>
          <w:ilvl w:val="0"/>
          <w:numId w:val="1006"/>
        </w:numPr>
        <w:pStyle w:val="Compact"/>
      </w:pPr>
      <w:r>
        <w:rPr>
          <w:bCs/>
          <w:b/>
          <w:iCs/>
          <w:i/>
        </w:rPr>
        <w:t xml:space="preserve">Calidad</w:t>
      </w:r>
    </w:p>
    <w:p>
      <w:pPr>
        <w:numPr>
          <w:ilvl w:val="0"/>
          <w:numId w:val="1006"/>
        </w:numPr>
        <w:pStyle w:val="Compact"/>
      </w:pPr>
      <w:r>
        <w:t xml:space="preserve">+ &gt;Luis tiene dos Doctorados</w:t>
      </w:r>
    </w:p>
    <w:p>
      <w:pPr>
        <w:numPr>
          <w:ilvl w:val="0"/>
          <w:numId w:val="1006"/>
        </w:numPr>
        <w:pStyle w:val="Compact"/>
      </w:pPr>
      <w:r>
        <w:t xml:space="preserve">+ &gt; Yo creo que los tiene y tengo pruebas adecuadas de que es así.</w:t>
      </w:r>
    </w:p>
    <w:p>
      <w:pPr>
        <w:numPr>
          <w:ilvl w:val="0"/>
          <w:numId w:val="1006"/>
        </w:numPr>
        <w:pStyle w:val="Compact"/>
      </w:pPr>
      <w:r>
        <w:t xml:space="preserve">?? Luis tiene dos Doctorados, pero yo no creo que los tenga. (Esta oración es pragmáticamente anómala porque contradice la implicatura estándar de calidad.</w:t>
      </w:r>
    </w:p>
    <w:p>
      <w:pPr>
        <w:numPr>
          <w:ilvl w:val="0"/>
          <w:numId w:val="1007"/>
        </w:numPr>
        <w:pStyle w:val="Compact"/>
      </w:pPr>
      <w:r>
        <w:rPr>
          <w:bCs/>
          <w:b/>
          <w:iCs/>
          <w:i/>
        </w:rPr>
        <w:t xml:space="preserve">Cantidad</w:t>
      </w:r>
    </w:p>
    <w:p>
      <w:pPr>
        <w:numPr>
          <w:ilvl w:val="0"/>
          <w:numId w:val="1007"/>
        </w:numPr>
        <w:pStyle w:val="Compact"/>
      </w:pPr>
      <w:r>
        <w:rPr>
          <w:iCs/>
          <w:i/>
        </w:rPr>
        <w:t xml:space="preserve">Esta máxima proporciona algunas de las implicaturas estándar más interesantes.</w:t>
      </w:r>
    </w:p>
    <w:p>
      <w:pPr>
        <w:pStyle w:val="FirstParagraph"/>
      </w:pPr>
      <w:r>
        <w:rPr>
          <w:iCs/>
          <w:i/>
        </w:rPr>
        <w:t xml:space="preserve">Ejemplos:</w:t>
      </w:r>
    </w:p>
    <w:p>
      <w:pPr>
        <w:pStyle w:val="BodyText"/>
      </w:pPr>
      <w:r>
        <w:t xml:space="preserve">Nigel tiene catorce hijo</w:t>
      </w:r>
    </w:p>
    <w:p>
      <w:pPr>
        <w:pStyle w:val="BodyText"/>
      </w:pPr>
      <w:r>
        <w:t xml:space="preserve">La bandera es blanca.</w:t>
      </w:r>
    </w:p>
    <w:p>
      <w:pPr>
        <w:numPr>
          <w:ilvl w:val="0"/>
          <w:numId w:val="1008"/>
        </w:numPr>
        <w:pStyle w:val="Compact"/>
      </w:pPr>
      <w:r>
        <w:t xml:space="preserve">Pertinencia</w:t>
      </w:r>
    </w:p>
    <w:p>
      <w:pPr>
        <w:pStyle w:val="FirstParagraph"/>
      </w:pPr>
      <w:r>
        <w:t xml:space="preserve">Ejemplo:</w:t>
      </w:r>
    </w:p>
    <w:p>
      <w:pPr>
        <w:numPr>
          <w:ilvl w:val="0"/>
          <w:numId w:val="1009"/>
        </w:numPr>
        <w:pStyle w:val="Compact"/>
      </w:pPr>
      <w:r>
        <w:t xml:space="preserve">¿Puede decirme la hora?</w:t>
      </w:r>
    </w:p>
    <w:p>
      <w:pPr>
        <w:numPr>
          <w:ilvl w:val="0"/>
          <w:numId w:val="1009"/>
        </w:numPr>
        <w:pStyle w:val="Compact"/>
      </w:pPr>
      <w:r>
        <w:t xml:space="preserve">Bien, el lechero ha pasado.</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99</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0"/>
        </w:numPr>
        <w:pStyle w:val="Compact"/>
      </w:pPr>
      <w:r>
        <w:rPr>
          <w:bCs/>
          <w:b/>
          <w:iCs/>
          <w:i/>
        </w:rP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1"/>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t xml:space="preserve">LEVINSON, S. (1989).</w:t>
      </w:r>
      <w:r>
        <w:t xml:space="preserve"> </w:t>
      </w:r>
      <w:r>
        <w:rPr>
          <w:iCs/>
          <w:i/>
        </w:rPr>
        <w:t xml:space="preserve">Pragmática</w:t>
      </w:r>
      <w:r>
        <w:t xml:space="preserve">,. Barcelona: Teide.</w:t>
      </w:r>
    </w:p>
    <w:p>
      <w:pPr>
        <w:pStyle w:val="BodyText"/>
      </w:pPr>
      <w:r>
        <w:t xml:space="preserve">P. 100</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2"/>
        </w:numPr>
        <w:pStyle w:val="Compact"/>
      </w:pPr>
      <w:r>
        <w:t xml:space="preserve">Este tipo de implicatura aparece cuando de un modo abierto y llamativo no se sigue máxima alguna, sino que se aprovecha con propósitos comunicativos.</w:t>
      </w:r>
    </w:p>
    <w:p>
      <w:pPr>
        <w:numPr>
          <w:ilvl w:val="0"/>
          <w:numId w:val="1012"/>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2"/>
        </w:numPr>
        <w:pStyle w:val="Compact"/>
      </w:pPr>
      <w:r>
        <w:t xml:space="preserve">Calidad:</w:t>
      </w:r>
    </w:p>
    <w:p>
      <w:pPr>
        <w:numPr>
          <w:ilvl w:val="0"/>
          <w:numId w:val="1013"/>
        </w:numPr>
        <w:pStyle w:val="Compact"/>
      </w:pPr>
      <w:r>
        <w:t xml:space="preserve">¿Qué sucedería si la URSS bloqueara el Golfo y de ese modo todo el petróleo?</w:t>
      </w:r>
    </w:p>
    <w:p>
      <w:pPr>
        <w:numPr>
          <w:ilvl w:val="0"/>
          <w:numId w:val="1013"/>
        </w:numPr>
        <w:pStyle w:val="Compact"/>
      </w:pPr>
      <w:r>
        <w:t xml:space="preserve">¡Anda ya, la Gran Bretaña domina los mares!</w:t>
      </w:r>
    </w:p>
    <w:p>
      <w:pPr>
        <w:numPr>
          <w:ilvl w:val="0"/>
          <w:numId w:val="1013"/>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t xml:space="preserve">LEVINSON, S. (1989).</w:t>
      </w:r>
      <w:r>
        <w:t xml:space="preserve"> </w:t>
      </w:r>
      <w:r>
        <w:rPr>
          <w:iCs/>
          <w:i/>
        </w:rPr>
        <w:t xml:space="preserve">Pragmática</w:t>
      </w:r>
      <w:r>
        <w:t xml:space="preserve">,. Barcelona: Teide.</w:t>
      </w:r>
    </w:p>
    <w:p>
      <w:pPr>
        <w:pStyle w:val="BodyText"/>
      </w:pPr>
      <w:r>
        <w:t xml:space="preserve">P. 105</w:t>
      </w:r>
    </w:p>
    <w:p>
      <w:pPr>
        <w:pStyle w:val="BodyText"/>
      </w:pPr>
      <w:r>
        <w:rPr>
          <w:bCs/>
          <w:b/>
        </w:rP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108</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t xml:space="preserve">LEVINSON, S. (1989).</w:t>
      </w:r>
      <w:r>
        <w:t xml:space="preserve"> </w:t>
      </w:r>
      <w:r>
        <w:rPr>
          <w:iCs/>
          <w:i/>
        </w:rPr>
        <w:t xml:space="preserve">Pragmática</w:t>
      </w:r>
      <w:r>
        <w:t xml:space="preserve">,. Barcelona: Teide.</w:t>
      </w:r>
    </w:p>
    <w:p>
      <w:pPr>
        <w:pStyle w:val="BodyText"/>
      </w:pPr>
      <w:r>
        <w:rPr>
          <w:bCs/>
          <w:b/>
        </w:rPr>
        <w:t xml:space="preserve">P. 117</w:t>
      </w:r>
    </w:p>
    <w:p>
      <w:pPr>
        <w:pStyle w:val="BodyText"/>
      </w:pPr>
      <w:r>
        <w:rPr>
          <w:bCs/>
          <w:b/>
        </w:rP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117-118</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118-119</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r>
        <w:t xml:space="preserve"> </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(1989).</w:t>
      </w:r>
      <w:r>
        <w:t xml:space="preserve"> </w:t>
      </w:r>
      <w:r>
        <w:rPr>
          <w:iCs/>
          <w:i/>
        </w:rPr>
        <w:t xml:space="preserve">Pragmática</w:t>
      </w:r>
      <w:r>
        <w:t xml:space="preserve">,. Barcelona: Teide.</w:t>
      </w:r>
    </w:p>
    <w:p>
      <w:pPr>
        <w:pStyle w:val="BodyText"/>
      </w:pPr>
      <w:r>
        <w:t xml:space="preserve">P. 119</w:t>
      </w:r>
    </w:p>
    <w:p>
      <w:pPr>
        <w:pStyle w:val="BodyText"/>
      </w:pPr>
      <w:r>
        <w:t xml:space="preserve">P. 121</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w:t>
      </w:r>
      <w:r>
        <w:t xml:space="preserve"> </w:t>
      </w:r>
      <w:r>
        <w:rPr>
          <w:iCs/>
          <w:i/>
        </w:rPr>
        <w:t xml:space="preserve">Pragmática</w:t>
      </w:r>
      <w:r>
        <w:t xml:space="preserve">,. Barcelona: Teide.</w:t>
      </w:r>
    </w:p>
    <w:p>
      <w:pPr>
        <w:pStyle w:val="BodyText"/>
      </w:pPr>
      <w:r>
        <w:t xml:space="preserve">P. 123</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t xml:space="preserve">LEVINSON, S. (1989).</w:t>
      </w:r>
      <w:r>
        <w:t xml:space="preserve"> </w:t>
      </w:r>
      <w:r>
        <w:rPr>
          <w:iCs/>
          <w:i/>
        </w:rPr>
        <w:t xml:space="preserve">Pragmática</w:t>
      </w:r>
      <w:r>
        <w:t xml:space="preserve">,. Barcelona: Teide.</w:t>
      </w:r>
    </w:p>
    <w:p>
      <w:pPr>
        <w:pStyle w:val="BodyText"/>
      </w:pPr>
      <w:r>
        <w:t xml:space="preserve">P. 122</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t xml:space="preserve">P. 124</w:t>
      </w:r>
    </w:p>
    <w:p>
      <w:pPr>
        <w:pStyle w:val="BodyText"/>
      </w:pPr>
      <w:r>
        <w:rPr>
          <w:bCs/>
          <w:b/>
        </w:rPr>
        <w:t xml:space="preserve">Implicaturas escalares e implicaturas clausales</w:t>
      </w:r>
      <w:r>
        <w:rPr>
          <w:bCs/>
          <w:b/>
        </w:rP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rPr>
          <w:bCs/>
          <w:b/>
        </w:rP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t xml:space="preserve">LEVINSON, S. (1989).</w:t>
      </w:r>
      <w:r>
        <w:t xml:space="preserve"> </w:t>
      </w:r>
      <w:r>
        <w:rPr>
          <w:iCs/>
          <w:i/>
        </w:rPr>
        <w:t xml:space="preserve">Pragmática</w:t>
      </w:r>
      <w:r>
        <w:t xml:space="preserve">,. Barcelona: Teide.</w:t>
      </w:r>
    </w:p>
    <w:p>
      <w:pPr>
        <w:pStyle w:val="BodyText"/>
      </w:pPr>
      <w:r>
        <w:t xml:space="preserve">P. 127</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2021-10-24T00:23:39Z</dcterms:created>
  <dcterms:modified xsi:type="dcterms:W3CDTF">2021-10-24T00:23:39Z</dcterms:modified>
</cp:coreProperties>
</file>

<file path=docProps/custom.xml><?xml version="1.0" encoding="utf-8"?>
<Properties xmlns="http://schemas.openxmlformats.org/officeDocument/2006/custom-properties" xmlns:vt="http://schemas.openxmlformats.org/officeDocument/2006/docPropsVTypes"/>
</file>